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786" w:rsidRDefault="009C73ED">
      <w:pPr>
        <w:jc w:val="center"/>
        <w:rPr>
          <w:b/>
        </w:rPr>
      </w:pPr>
      <w:r>
        <w:rPr>
          <w:b/>
        </w:rPr>
        <w:t>IN THE SUPERIOR COURT OF THE VIRGIN ISLANDS</w:t>
      </w:r>
    </w:p>
    <w:p w:rsidR="00487786" w:rsidRDefault="009C73ED">
      <w:pPr>
        <w:spacing w:line="480" w:lineRule="auto"/>
        <w:jc w:val="center"/>
        <w:rPr>
          <w:b/>
        </w:rPr>
      </w:pPr>
      <w:r>
        <w:rPr>
          <w:b/>
        </w:rPr>
        <w:t>DIVISION OF ST. CROIX</w:t>
      </w:r>
    </w:p>
    <w:tbl>
      <w:tblPr>
        <w:tblW w:w="0" w:type="auto"/>
        <w:tblLook w:val="01E0" w:firstRow="1" w:lastRow="1" w:firstColumn="1" w:lastColumn="1" w:noHBand="0" w:noVBand="0"/>
      </w:tblPr>
      <w:tblGrid>
        <w:gridCol w:w="4608"/>
        <w:gridCol w:w="4608"/>
      </w:tblGrid>
      <w:tr w:rsidR="00487786">
        <w:tc>
          <w:tcPr>
            <w:tcW w:w="4608" w:type="dxa"/>
            <w:tcBorders>
              <w:bottom w:val="single" w:sz="4" w:space="0" w:color="auto"/>
              <w:right w:val="single" w:sz="4" w:space="0" w:color="auto"/>
            </w:tcBorders>
          </w:tcPr>
          <w:p w:rsidR="00487786" w:rsidRDefault="009C73ED">
            <w:pPr>
              <w:rPr>
                <w:b/>
              </w:rPr>
            </w:pPr>
            <w:r>
              <w:rPr>
                <w:b/>
              </w:rPr>
              <w:t xml:space="preserve">RYAN </w:t>
            </w:r>
            <w:proofErr w:type="spellStart"/>
            <w:r>
              <w:rPr>
                <w:b/>
              </w:rPr>
              <w:t>ALLEYNE</w:t>
            </w:r>
            <w:proofErr w:type="spellEnd"/>
            <w:r>
              <w:rPr>
                <w:b/>
              </w:rPr>
              <w:t xml:space="preserve">, ENID V. </w:t>
            </w:r>
            <w:proofErr w:type="spellStart"/>
            <w:r>
              <w:rPr>
                <w:b/>
              </w:rPr>
              <w:t>ALLEYNE</w:t>
            </w:r>
            <w:proofErr w:type="spellEnd"/>
            <w:r>
              <w:rPr>
                <w:b/>
              </w:rPr>
              <w:t>,</w:t>
            </w:r>
          </w:p>
          <w:p w:rsidR="00487786" w:rsidRDefault="009C73ED">
            <w:pPr>
              <w:rPr>
                <w:b/>
              </w:rPr>
            </w:pPr>
            <w:r>
              <w:rPr>
                <w:b/>
              </w:rPr>
              <w:t xml:space="preserve">MICHAEL </w:t>
            </w:r>
            <w:proofErr w:type="spellStart"/>
            <w:r>
              <w:rPr>
                <w:b/>
              </w:rPr>
              <w:t>BICETTE</w:t>
            </w:r>
            <w:proofErr w:type="spellEnd"/>
            <w:r>
              <w:rPr>
                <w:b/>
              </w:rPr>
              <w:t>,</w:t>
            </w:r>
          </w:p>
          <w:p w:rsidR="00487786" w:rsidRDefault="009C73ED">
            <w:pPr>
              <w:rPr>
                <w:b/>
              </w:rPr>
            </w:pPr>
            <w:r>
              <w:rPr>
                <w:b/>
              </w:rPr>
              <w:t xml:space="preserve">MARCO BLACKMAN, </w:t>
            </w:r>
            <w:proofErr w:type="spellStart"/>
            <w:r>
              <w:rPr>
                <w:b/>
              </w:rPr>
              <w:t>ANISTIA</w:t>
            </w:r>
            <w:proofErr w:type="spellEnd"/>
            <w:r>
              <w:rPr>
                <w:b/>
              </w:rPr>
              <w:t xml:space="preserve"> JOHN, GEORGE JOHN, SUSIE </w:t>
            </w:r>
            <w:proofErr w:type="spellStart"/>
            <w:r>
              <w:rPr>
                <w:b/>
              </w:rPr>
              <w:t>SANES</w:t>
            </w:r>
            <w:proofErr w:type="spellEnd"/>
            <w:r>
              <w:rPr>
                <w:b/>
              </w:rPr>
              <w:t xml:space="preserve"> </w:t>
            </w:r>
            <w:r>
              <w:t xml:space="preserve">and </w:t>
            </w:r>
          </w:p>
          <w:p w:rsidR="00487786" w:rsidRDefault="009C73ED">
            <w:pPr>
              <w:rPr>
                <w:b/>
              </w:rPr>
            </w:pPr>
            <w:r>
              <w:rPr>
                <w:b/>
              </w:rPr>
              <w:t xml:space="preserve">ALICIA </w:t>
            </w:r>
            <w:proofErr w:type="spellStart"/>
            <w:r>
              <w:rPr>
                <w:b/>
              </w:rPr>
              <w:t>SANES</w:t>
            </w:r>
            <w:proofErr w:type="spellEnd"/>
            <w:r>
              <w:rPr>
                <w:b/>
              </w:rPr>
              <w:t xml:space="preserve">, </w:t>
            </w:r>
            <w:r>
              <w:t xml:space="preserve">on behalf of </w:t>
            </w:r>
            <w:r>
              <w:rPr>
                <w:bCs/>
              </w:rPr>
              <w:t xml:space="preserve">ANA VENTURA, </w:t>
            </w:r>
            <w:r>
              <w:t>on behalf of themselves and all others similarly situated,</w:t>
            </w:r>
          </w:p>
          <w:p w:rsidR="00487786" w:rsidRDefault="00487786">
            <w:pPr>
              <w:rPr>
                <w:b/>
                <w:bCs/>
              </w:rPr>
            </w:pPr>
          </w:p>
          <w:p w:rsidR="00487786" w:rsidRDefault="009C73ED">
            <w:pPr>
              <w:rPr>
                <w:bCs/>
                <w:i/>
              </w:rPr>
            </w:pPr>
            <w:r>
              <w:rPr>
                <w:b/>
                <w:bCs/>
              </w:rPr>
              <w:tab/>
            </w:r>
            <w:r>
              <w:rPr>
                <w:b/>
                <w:bCs/>
              </w:rPr>
              <w:tab/>
            </w:r>
            <w:r>
              <w:rPr>
                <w:bCs/>
                <w:i/>
              </w:rPr>
              <w:t>Plaintiffs,</w:t>
            </w:r>
          </w:p>
          <w:p w:rsidR="00487786" w:rsidRDefault="009C73ED">
            <w:pPr>
              <w:rPr>
                <w:b/>
                <w:bCs/>
              </w:rPr>
            </w:pPr>
            <w:r>
              <w:rPr>
                <w:b/>
                <w:bCs/>
              </w:rPr>
              <w:tab/>
              <w:t>v.</w:t>
            </w:r>
          </w:p>
          <w:p w:rsidR="00487786" w:rsidRDefault="00487786">
            <w:pPr>
              <w:rPr>
                <w:b/>
                <w:bCs/>
              </w:rPr>
            </w:pPr>
          </w:p>
          <w:p w:rsidR="00487786" w:rsidRDefault="009C73ED">
            <w:pPr>
              <w:rPr>
                <w:b/>
              </w:rPr>
            </w:pPr>
            <w:r>
              <w:rPr>
                <w:b/>
              </w:rPr>
              <w:t xml:space="preserve">DIAGEO </w:t>
            </w:r>
            <w:proofErr w:type="spellStart"/>
            <w:r>
              <w:rPr>
                <w:b/>
              </w:rPr>
              <w:t>USVI</w:t>
            </w:r>
            <w:proofErr w:type="spellEnd"/>
            <w:r>
              <w:rPr>
                <w:b/>
              </w:rPr>
              <w:t xml:space="preserve">, INC. </w:t>
            </w:r>
            <w:r>
              <w:t>and</w:t>
            </w:r>
            <w:r>
              <w:rPr>
                <w:b/>
              </w:rPr>
              <w:t xml:space="preserve"> </w:t>
            </w:r>
          </w:p>
          <w:p w:rsidR="00487786" w:rsidRDefault="009C73ED">
            <w:pPr>
              <w:rPr>
                <w:b/>
              </w:rPr>
            </w:pPr>
            <w:r>
              <w:rPr>
                <w:b/>
              </w:rPr>
              <w:t xml:space="preserve">CRUZAN </w:t>
            </w:r>
            <w:proofErr w:type="spellStart"/>
            <w:r>
              <w:rPr>
                <w:b/>
              </w:rPr>
              <w:t>VIRIL</w:t>
            </w:r>
            <w:proofErr w:type="spellEnd"/>
            <w:r>
              <w:rPr>
                <w:b/>
              </w:rPr>
              <w:t>, LTD.,</w:t>
            </w:r>
          </w:p>
          <w:p w:rsidR="00487786" w:rsidRDefault="00487786">
            <w:pPr>
              <w:rPr>
                <w:b/>
              </w:rPr>
            </w:pPr>
          </w:p>
          <w:p w:rsidR="00487786" w:rsidRDefault="009C73ED">
            <w:pPr>
              <w:rPr>
                <w:bCs/>
                <w:i/>
              </w:rPr>
            </w:pPr>
            <w:r>
              <w:rPr>
                <w:b/>
                <w:bCs/>
              </w:rPr>
              <w:tab/>
            </w:r>
            <w:r>
              <w:rPr>
                <w:b/>
                <w:bCs/>
              </w:rPr>
              <w:tab/>
            </w:r>
            <w:r>
              <w:rPr>
                <w:bCs/>
                <w:i/>
              </w:rPr>
              <w:t>Defendants.</w:t>
            </w:r>
          </w:p>
          <w:p w:rsidR="00487786" w:rsidRDefault="00487786">
            <w:pPr>
              <w:rPr>
                <w:b/>
                <w:bCs/>
              </w:rPr>
            </w:pPr>
          </w:p>
        </w:tc>
        <w:tc>
          <w:tcPr>
            <w:tcW w:w="4608" w:type="dxa"/>
          </w:tcPr>
          <w:p w:rsidR="00487786" w:rsidRDefault="00487786">
            <w:pPr>
              <w:rPr>
                <w:b/>
                <w:bCs/>
              </w:rPr>
            </w:pPr>
          </w:p>
          <w:p w:rsidR="00487786" w:rsidRDefault="00487786">
            <w:pPr>
              <w:rPr>
                <w:b/>
                <w:bCs/>
              </w:rPr>
            </w:pPr>
          </w:p>
          <w:p w:rsidR="00487786" w:rsidRDefault="009C73ED">
            <w:pPr>
              <w:rPr>
                <w:b/>
                <w:bCs/>
              </w:rPr>
            </w:pPr>
            <w:r>
              <w:rPr>
                <w:b/>
                <w:bCs/>
              </w:rPr>
              <w:tab/>
              <w:t xml:space="preserve">Case No.: </w:t>
            </w:r>
            <w:proofErr w:type="spellStart"/>
            <w:r>
              <w:rPr>
                <w:b/>
                <w:bCs/>
              </w:rPr>
              <w:t>SX</w:t>
            </w:r>
            <w:proofErr w:type="spellEnd"/>
            <w:r>
              <w:rPr>
                <w:b/>
                <w:bCs/>
              </w:rPr>
              <w:t xml:space="preserve"> 2013-CV- 143</w:t>
            </w:r>
          </w:p>
          <w:p w:rsidR="00487786" w:rsidRDefault="00487786">
            <w:pPr>
              <w:rPr>
                <w:b/>
                <w:bCs/>
              </w:rPr>
            </w:pPr>
          </w:p>
          <w:p w:rsidR="00487786" w:rsidRDefault="00487786">
            <w:pPr>
              <w:rPr>
                <w:b/>
                <w:bCs/>
              </w:rPr>
            </w:pPr>
          </w:p>
          <w:p w:rsidR="00487786" w:rsidRDefault="009C73ED">
            <w:pPr>
              <w:rPr>
                <w:b/>
                <w:bCs/>
              </w:rPr>
            </w:pPr>
            <w:r>
              <w:rPr>
                <w:b/>
                <w:bCs/>
              </w:rPr>
              <w:tab/>
              <w:t>CLASS ACTION</w:t>
            </w:r>
          </w:p>
          <w:p w:rsidR="00487786" w:rsidRDefault="00487786">
            <w:pPr>
              <w:rPr>
                <w:b/>
                <w:bCs/>
              </w:rPr>
            </w:pPr>
          </w:p>
          <w:p w:rsidR="00487786" w:rsidRDefault="00487786">
            <w:pPr>
              <w:rPr>
                <w:b/>
                <w:bCs/>
              </w:rPr>
            </w:pPr>
          </w:p>
          <w:p w:rsidR="00487786" w:rsidRDefault="009C73ED">
            <w:pPr>
              <w:rPr>
                <w:b/>
                <w:bCs/>
                <w:u w:val="single"/>
              </w:rPr>
            </w:pPr>
            <w:r>
              <w:rPr>
                <w:b/>
                <w:bCs/>
              </w:rPr>
              <w:tab/>
            </w:r>
            <w:r>
              <w:rPr>
                <w:b/>
                <w:bCs/>
                <w:u w:val="single"/>
              </w:rPr>
              <w:t>JURY TRIAL DEMANDED</w:t>
            </w:r>
          </w:p>
        </w:tc>
      </w:tr>
    </w:tbl>
    <w:p w:rsidR="00487786" w:rsidRDefault="00487786">
      <w:pPr>
        <w:rPr>
          <w:b/>
        </w:rPr>
      </w:pPr>
    </w:p>
    <w:p w:rsidR="00487786" w:rsidRDefault="009C73ED">
      <w:pPr>
        <w:jc w:val="center"/>
        <w:rPr>
          <w:b/>
        </w:rPr>
      </w:pPr>
      <w:r>
        <w:rPr>
          <w:b/>
        </w:rPr>
        <w:t xml:space="preserve">DEFENDANTS DIAGEO </w:t>
      </w:r>
      <w:proofErr w:type="spellStart"/>
      <w:r>
        <w:rPr>
          <w:b/>
        </w:rPr>
        <w:t>USVI</w:t>
      </w:r>
      <w:proofErr w:type="spellEnd"/>
      <w:r>
        <w:rPr>
          <w:b/>
        </w:rPr>
        <w:t xml:space="preserve">, INC. AND CRUZAN </w:t>
      </w:r>
      <w:proofErr w:type="spellStart"/>
      <w:r>
        <w:rPr>
          <w:b/>
        </w:rPr>
        <w:t>VIRIL</w:t>
      </w:r>
      <w:proofErr w:type="spellEnd"/>
      <w:r>
        <w:rPr>
          <w:b/>
        </w:rPr>
        <w:t>, LTD.’S RULE 12(b)(6) MEMORANDUM IN SUPPORT OF THEIR JOINT MOTION TO DISMISS</w:t>
      </w:r>
    </w:p>
    <w:p w:rsidR="00487786" w:rsidRDefault="00487786">
      <w:pPr>
        <w:rPr>
          <w:b/>
        </w:rPr>
      </w:pPr>
    </w:p>
    <w:p w:rsidR="00487786" w:rsidRDefault="009C73ED">
      <w:pPr>
        <w:spacing w:line="480" w:lineRule="auto"/>
        <w:ind w:firstLine="720"/>
      </w:pPr>
      <w:r>
        <w:t xml:space="preserve">Defendants Diageo </w:t>
      </w:r>
      <w:proofErr w:type="spellStart"/>
      <w:r>
        <w:t>USVI</w:t>
      </w:r>
      <w:proofErr w:type="spellEnd"/>
      <w:r>
        <w:t xml:space="preserve">, Inc. (“Diageo </w:t>
      </w:r>
      <w:proofErr w:type="spellStart"/>
      <w:r>
        <w:t>USVI</w:t>
      </w:r>
      <w:proofErr w:type="spellEnd"/>
      <w:r>
        <w:t xml:space="preserve">”) and Cruzan </w:t>
      </w:r>
      <w:proofErr w:type="spellStart"/>
      <w:r>
        <w:t>VIRIL</w:t>
      </w:r>
      <w:proofErr w:type="spellEnd"/>
      <w:r>
        <w:t>, Ltd. (“Cruzan”) respectfully move to dismiss the Complaint pursuant t</w:t>
      </w:r>
      <w:r>
        <w:t xml:space="preserve">o Rule 12(b)(6) for failing to state a claim upon which relief can be granted. </w:t>
      </w:r>
    </w:p>
    <w:p w:rsidR="00487786" w:rsidRDefault="009C73ED">
      <w:pPr>
        <w:spacing w:line="480" w:lineRule="auto"/>
        <w:rPr>
          <w:b/>
        </w:rPr>
      </w:pPr>
      <w:r>
        <w:rPr>
          <w:b/>
        </w:rPr>
        <w:t>I.</w:t>
      </w:r>
      <w:r>
        <w:rPr>
          <w:b/>
        </w:rPr>
        <w:tab/>
        <w:t>Introduction</w:t>
      </w:r>
    </w:p>
    <w:p w:rsidR="00487786" w:rsidRDefault="009C73ED">
      <w:pPr>
        <w:spacing w:line="480" w:lineRule="auto"/>
        <w:ind w:firstLine="720"/>
      </w:pPr>
      <w:r>
        <w:t xml:space="preserve">For centuries, rum has been produced and aged on St. Croix.  </w:t>
      </w:r>
      <w:bookmarkStart w:id="0" w:name="_MD_Rev22"/>
      <w:bookmarkStart w:id="1" w:name="_MD_Rev138"/>
      <w:bookmarkEnd w:id="0"/>
      <w:r>
        <w:t>U</w:t>
      </w:r>
      <w:bookmarkEnd w:id="1"/>
      <w:r>
        <w:t xml:space="preserve">nder the guise of nuisance and other common law claims, </w:t>
      </w:r>
      <w:bookmarkStart w:id="2" w:name="_MD_Rev139"/>
      <w:r>
        <w:t>Plaintiffs are asking this Court to regula</w:t>
      </w:r>
      <w:r>
        <w:t xml:space="preserve">te </w:t>
      </w:r>
      <w:bookmarkStart w:id="3" w:name="_MD_Rev23"/>
      <w:bookmarkEnd w:id="2"/>
      <w:bookmarkEnd w:id="3"/>
      <w:r>
        <w:t xml:space="preserve">ethanol emissions </w:t>
      </w:r>
      <w:bookmarkStart w:id="4" w:name="_MD_Rev140"/>
      <w:r>
        <w:t xml:space="preserve">that occur during rum production and aging.  </w:t>
      </w:r>
      <w:bookmarkStart w:id="5" w:name="_MD_Rev24"/>
      <w:bookmarkEnd w:id="5"/>
      <w:r>
        <w:t>Specifically, Plaintiffs are asking this Court to interfere with Defendants’ long-established practices for aging rum by demanding that they install regenerative thermal oxidizer (“</w:t>
      </w:r>
      <w:proofErr w:type="spellStart"/>
      <w:r>
        <w:t>RTO</w:t>
      </w:r>
      <w:proofErr w:type="spellEnd"/>
      <w:r>
        <w:t>”) tec</w:t>
      </w:r>
      <w:r>
        <w:t xml:space="preserve">hnology to capture and control ethanol emissions at their rum-aging facilities.  </w:t>
      </w:r>
    </w:p>
    <w:p w:rsidR="00487786" w:rsidRDefault="009C73ED">
      <w:pPr>
        <w:spacing w:line="480" w:lineRule="auto"/>
        <w:ind w:firstLine="720"/>
      </w:pPr>
      <w:r>
        <w:t xml:space="preserve">But </w:t>
      </w:r>
      <w:bookmarkEnd w:id="4"/>
      <w:r>
        <w:t>Congress</w:t>
      </w:r>
      <w:bookmarkStart w:id="6" w:name="_MD_Rev25"/>
      <w:bookmarkEnd w:id="6"/>
      <w:r>
        <w:t xml:space="preserve"> set up a comprehensive system to regulate air emissions—including ethanol emissions—through the Clean Air Act (“</w:t>
      </w:r>
      <w:proofErr w:type="spellStart"/>
      <w:r>
        <w:t>CAA</w:t>
      </w:r>
      <w:proofErr w:type="spellEnd"/>
      <w:r>
        <w:t xml:space="preserve">”).  </w:t>
      </w:r>
      <w:bookmarkStart w:id="7" w:name="_MD_Rev26"/>
      <w:bookmarkEnd w:id="7"/>
      <w:r>
        <w:t xml:space="preserve">And as numerous </w:t>
      </w:r>
      <w:r>
        <w:lastRenderedPageBreak/>
        <w:t>courts recently have held</w:t>
      </w:r>
      <w:r>
        <w:t xml:space="preserve">, the </w:t>
      </w:r>
      <w:proofErr w:type="spellStart"/>
      <w:r>
        <w:t>CAA’s</w:t>
      </w:r>
      <w:proofErr w:type="spellEnd"/>
      <w:r>
        <w:t xml:space="preserve"> comprehensive regulatory framework leaves “no room for a parallel track” where private plaintiffs can sidestep the expert federal and state agencies through a lawsuit alleging </w:t>
      </w:r>
      <w:bookmarkStart w:id="8" w:name="_MD_Rev27"/>
      <w:bookmarkEnd w:id="8"/>
      <w:r>
        <w:t xml:space="preserve">common law claims.  </w:t>
      </w:r>
      <w:r>
        <w:rPr>
          <w:i/>
        </w:rPr>
        <w:t>Am. Elec. Power Co. v. Connecticut</w:t>
      </w:r>
      <w:bookmarkStart w:id="9" w:name="_MD_Rev28"/>
      <w:bookmarkEnd w:id="9"/>
      <w:r>
        <w:t>, 131 S. Ct. 2</w:t>
      </w:r>
      <w:r>
        <w:t>527, 2538 (2011)</w:t>
      </w:r>
      <w:bookmarkStart w:id="10" w:name="_MD_Rev141"/>
      <w:r>
        <w:t xml:space="preserve"> (“</w:t>
      </w:r>
      <w:proofErr w:type="spellStart"/>
      <w:r>
        <w:rPr>
          <w:i/>
        </w:rPr>
        <w:t>AEP</w:t>
      </w:r>
      <w:proofErr w:type="spellEnd"/>
      <w:r>
        <w:t>”)</w:t>
      </w:r>
      <w:bookmarkEnd w:id="10"/>
      <w:r>
        <w:t xml:space="preserve">; </w:t>
      </w:r>
      <w:r>
        <w:rPr>
          <w:i/>
        </w:rPr>
        <w:t>see also</w:t>
      </w:r>
      <w:r>
        <w:t xml:space="preserve"> </w:t>
      </w:r>
      <w:r>
        <w:rPr>
          <w:i/>
        </w:rPr>
        <w:t>infra</w:t>
      </w:r>
      <w:r>
        <w:t xml:space="preserve"> at 11-12 (citing cases).  This Court, too, should hold that Plaintiffs’ common law claims are preempted by the </w:t>
      </w:r>
      <w:proofErr w:type="spellStart"/>
      <w:r>
        <w:t>CAA</w:t>
      </w:r>
      <w:bookmarkStart w:id="11" w:name="_MD_Rev29"/>
      <w:bookmarkEnd w:id="11"/>
      <w:proofErr w:type="spellEnd"/>
      <w:r>
        <w:t xml:space="preserve">.  </w:t>
      </w:r>
    </w:p>
    <w:p w:rsidR="00487786" w:rsidRDefault="009C73ED">
      <w:pPr>
        <w:spacing w:line="480" w:lineRule="auto"/>
        <w:ind w:firstLine="720"/>
      </w:pPr>
      <w:r>
        <w:t xml:space="preserve">Even if Plaintiffs’ claims were not preempted, they each fail.  Plaintiffs premise each of their </w:t>
      </w:r>
      <w:r>
        <w:t xml:space="preserve">claims on the allegation that there is capture and control technology reasonably available for Defendants’ rum-aging facilities, and that Defendants have a newfound duty to alter their operations by implementing </w:t>
      </w:r>
      <w:proofErr w:type="spellStart"/>
      <w:r>
        <w:t>RTO</w:t>
      </w:r>
      <w:proofErr w:type="spellEnd"/>
      <w:r>
        <w:t xml:space="preserve"> technology.  </w:t>
      </w:r>
      <w:r>
        <w:rPr>
          <w:i/>
        </w:rPr>
        <w:t xml:space="preserve">See, e.g., </w:t>
      </w:r>
      <w:proofErr w:type="spellStart"/>
      <w:r>
        <w:t>Compl</w:t>
      </w:r>
      <w:proofErr w:type="spellEnd"/>
      <w:r>
        <w:t>. ¶¶ 72, 88</w:t>
      </w:r>
      <w:r>
        <w:t>-92, 107-08, 122-26, 131-52.  But Plaintiffs do not and cannot allege the existence of any state or federal statute or regulation, local ordinance, or other law requiring Defendants (or any other rum producer) to utilize capture and control technology at r</w:t>
      </w:r>
      <w:r>
        <w:t>um-aging facilities.  Moreover, even though Defendants are highly regulated—and operate under permits issued by</w:t>
      </w:r>
      <w:bookmarkStart w:id="12" w:name="_MD_Rev142"/>
      <w:r>
        <w:t xml:space="preserve"> the </w:t>
      </w:r>
      <w:proofErr w:type="spellStart"/>
      <w:r>
        <w:t>USVI</w:t>
      </w:r>
      <w:proofErr w:type="spellEnd"/>
      <w:r>
        <w:t xml:space="preserve"> Department of Planning and Natural Resources</w:t>
      </w:r>
      <w:bookmarkEnd w:id="12"/>
      <w:r>
        <w:t xml:space="preserve"> </w:t>
      </w:r>
      <w:bookmarkStart w:id="13" w:name="_MD_Rev143"/>
      <w:r>
        <w:t>(“</w:t>
      </w:r>
      <w:bookmarkEnd w:id="13"/>
      <w:proofErr w:type="spellStart"/>
      <w:r>
        <w:t>DPNR</w:t>
      </w:r>
      <w:bookmarkStart w:id="14" w:name="_MD_Rev144"/>
      <w:proofErr w:type="spellEnd"/>
      <w:r>
        <w:t>”)</w:t>
      </w:r>
      <w:bookmarkEnd w:id="14"/>
      <w:r>
        <w:t xml:space="preserve">—Plaintiffs do not and cannot allege that these permits require such technology.  </w:t>
      </w:r>
      <w:r>
        <w:t xml:space="preserve">To the contrary, for over three decades, the United States Environmental Protection Agency (“EPA”) consistently has taken the position that, because of the negative impacts on product quality and costs, there is </w:t>
      </w:r>
      <w:r>
        <w:rPr>
          <w:i/>
        </w:rPr>
        <w:t>no duty</w:t>
      </w:r>
      <w:r>
        <w:t xml:space="preserve"> to implement capture and control tec</w:t>
      </w:r>
      <w:r>
        <w:t xml:space="preserve">hnology at distilled spirits aging facilities.  </w:t>
      </w:r>
    </w:p>
    <w:p w:rsidR="00487786" w:rsidRDefault="009C73ED">
      <w:pPr>
        <w:spacing w:line="480" w:lineRule="auto"/>
        <w:ind w:firstLine="720"/>
      </w:pPr>
      <w:bookmarkStart w:id="15" w:name="_MD_Rev30"/>
      <w:bookmarkEnd w:id="15"/>
      <w:r>
        <w:t>Plaintiffs</w:t>
      </w:r>
      <w:bookmarkStart w:id="16" w:name="_MD_Rev145"/>
      <w:r>
        <w:t>’</w:t>
      </w:r>
      <w:bookmarkStart w:id="17" w:name="_MD_Rev31"/>
      <w:bookmarkEnd w:id="17"/>
      <w:r>
        <w:t xml:space="preserve"> request</w:t>
      </w:r>
      <w:bookmarkEnd w:id="16"/>
      <w:r>
        <w:t xml:space="preserve"> rest</w:t>
      </w:r>
      <w:bookmarkStart w:id="18" w:name="_MD_Rev146"/>
      <w:r>
        <w:t>s</w:t>
      </w:r>
      <w:bookmarkEnd w:id="18"/>
      <w:r>
        <w:t xml:space="preserve"> on nothing more than the fact that </w:t>
      </w:r>
      <w:proofErr w:type="spellStart"/>
      <w:r>
        <w:t>RTO</w:t>
      </w:r>
      <w:proofErr w:type="spellEnd"/>
      <w:r>
        <w:t xml:space="preserve"> technology is employed by makers of a wholly separate product—brandy—in one area of California, </w:t>
      </w:r>
      <w:r>
        <w:lastRenderedPageBreak/>
        <w:t>and Plaintiffs’ speculation that “it will work</w:t>
      </w:r>
      <w:r>
        <w:t xml:space="preserve"> here too.”  But Plaintiffs’ speculation is just that—speculation—and they plead no facts to plausibly support it.  </w:t>
      </w:r>
      <w:r>
        <w:rPr>
          <w:i/>
        </w:rPr>
        <w:t xml:space="preserve">See Bell Atlantic Corp. v. </w:t>
      </w:r>
      <w:proofErr w:type="spellStart"/>
      <w:r>
        <w:rPr>
          <w:i/>
        </w:rPr>
        <w:t>Twombly</w:t>
      </w:r>
      <w:proofErr w:type="spellEnd"/>
      <w:r>
        <w:t xml:space="preserve">, 550 U.S. 544, 555 (2007) (holding that, in order to survive a motion to dismiss, a plaintiff must plead </w:t>
      </w:r>
      <w:r>
        <w:t xml:space="preserve">facts—not “labels and conclusions”—that “raise a right to relief </w:t>
      </w:r>
      <w:bookmarkStart w:id="19" w:name="_MD_Rev33"/>
      <w:bookmarkStart w:id="20" w:name="_MD_Rev148"/>
      <w:bookmarkEnd w:id="19"/>
      <w:r>
        <w:t xml:space="preserve">above </w:t>
      </w:r>
      <w:bookmarkEnd w:id="20"/>
      <w:r>
        <w:t xml:space="preserve">the speculative level”).  For this, and the additional reasons described below, each of Plaintiffs’ claims must be dismissed.  </w:t>
      </w:r>
    </w:p>
    <w:p w:rsidR="00487786" w:rsidRDefault="00487786">
      <w:pPr>
        <w:spacing w:line="480" w:lineRule="auto"/>
        <w:ind w:firstLine="720"/>
      </w:pPr>
    </w:p>
    <w:p w:rsidR="00487786" w:rsidRDefault="009C73ED">
      <w:pPr>
        <w:spacing w:line="480" w:lineRule="auto"/>
        <w:rPr>
          <w:b/>
        </w:rPr>
      </w:pPr>
      <w:r>
        <w:rPr>
          <w:b/>
        </w:rPr>
        <w:t>II.</w:t>
      </w:r>
      <w:r>
        <w:rPr>
          <w:b/>
        </w:rPr>
        <w:tab/>
        <w:t>Background</w:t>
      </w:r>
    </w:p>
    <w:p w:rsidR="00487786" w:rsidRDefault="009C73ED">
      <w:pPr>
        <w:spacing w:line="480" w:lineRule="auto"/>
        <w:rPr>
          <w:b/>
        </w:rPr>
      </w:pPr>
      <w:r>
        <w:tab/>
      </w:r>
      <w:r>
        <w:rPr>
          <w:b/>
        </w:rPr>
        <w:t xml:space="preserve">A. </w:t>
      </w:r>
      <w:r>
        <w:rPr>
          <w:b/>
        </w:rPr>
        <w:tab/>
        <w:t>Defendants’ Rum-Aging Facilities</w:t>
      </w:r>
    </w:p>
    <w:p w:rsidR="00487786" w:rsidRDefault="009C73ED">
      <w:pPr>
        <w:spacing w:line="480" w:lineRule="auto"/>
      </w:pPr>
      <w:r>
        <w:tab/>
      </w:r>
      <w:r>
        <w:t xml:space="preserve">The </w:t>
      </w:r>
      <w:proofErr w:type="spellStart"/>
      <w:r>
        <w:t>Nelthropp</w:t>
      </w:r>
      <w:proofErr w:type="spellEnd"/>
      <w:r>
        <w:t xml:space="preserve"> family has produced and aged rum under the name “Cruzan” in Estate Diamond for at least seven generations.  St. Croix Chamber of Commerce, “Doing Business in the Virgin Islands”, http://www.stxchamber.org/doing_business (last accessed July 24</w:t>
      </w:r>
      <w:r>
        <w:t xml:space="preserve">, 2013).  In 2011, after establishing its production and aging operations </w:t>
      </w:r>
      <w:bookmarkStart w:id="21" w:name="_MD_Rev34"/>
      <w:bookmarkEnd w:id="21"/>
      <w:r>
        <w:t xml:space="preserve">in St. Croix and obtaining the necessary permits, Diageo </w:t>
      </w:r>
      <w:proofErr w:type="spellStart"/>
      <w:r>
        <w:t>USVI</w:t>
      </w:r>
      <w:proofErr w:type="spellEnd"/>
      <w:r>
        <w:t xml:space="preserve"> also began aging rum in Estate Diamond.  </w:t>
      </w:r>
      <w:proofErr w:type="spellStart"/>
      <w:r>
        <w:t>Compl</w:t>
      </w:r>
      <w:proofErr w:type="spellEnd"/>
      <w:r>
        <w:t>. ¶ 44.  Today, rum is the only remaining major production industry on St.</w:t>
      </w:r>
      <w:r>
        <w:t xml:space="preserve"> Croix.</w:t>
      </w:r>
      <w:r>
        <w:rPr>
          <w:rStyle w:val="FootnoteReference"/>
        </w:rPr>
        <w:footnoteReference w:id="1"/>
      </w:r>
      <w:r>
        <w:t xml:space="preserve">  </w:t>
      </w:r>
    </w:p>
    <w:p w:rsidR="00487786" w:rsidRDefault="009C73ED">
      <w:pPr>
        <w:spacing w:line="480" w:lineRule="auto"/>
      </w:pPr>
      <w:r>
        <w:lastRenderedPageBreak/>
        <w:tab/>
        <w:t xml:space="preserve">Rum is aged in oak barrels.  </w:t>
      </w:r>
      <w:proofErr w:type="spellStart"/>
      <w:r>
        <w:t>Compl</w:t>
      </w:r>
      <w:proofErr w:type="spellEnd"/>
      <w:r>
        <w:t xml:space="preserve">. ¶ 25.  </w:t>
      </w:r>
      <w:bookmarkStart w:id="22" w:name="_MD_Rev35"/>
      <w:bookmarkStart w:id="23" w:name="_MD_Rev150"/>
      <w:bookmarkEnd w:id="22"/>
      <w:r>
        <w:t xml:space="preserve">During </w:t>
      </w:r>
      <w:bookmarkStart w:id="24" w:name="_MD_Rev151"/>
      <w:bookmarkEnd w:id="23"/>
      <w:r>
        <w:t xml:space="preserve">this </w:t>
      </w:r>
      <w:bookmarkEnd w:id="24"/>
      <w:r>
        <w:t xml:space="preserve">centuries-old aging process, </w:t>
      </w:r>
      <w:bookmarkStart w:id="25" w:name="_MD_Rev36"/>
      <w:bookmarkEnd w:id="25"/>
      <w:r>
        <w:t xml:space="preserve">alcohol vapor (ethanol) escapes from the barrels and is emitted into the atmosphere.  </w:t>
      </w:r>
      <w:r>
        <w:rPr>
          <w:i/>
        </w:rPr>
        <w:t>Id.</w:t>
      </w:r>
      <w:r>
        <w:t xml:space="preserve">  Ethanol emissions are a type of natural “volatile organic compound” o</w:t>
      </w:r>
      <w:r>
        <w:t xml:space="preserve">r “VOC.”  </w:t>
      </w:r>
      <w:r>
        <w:rPr>
          <w:i/>
        </w:rPr>
        <w:t>Id.</w:t>
      </w:r>
      <w:r>
        <w:t xml:space="preserve">  As described in further detail below, in the </w:t>
      </w:r>
      <w:proofErr w:type="spellStart"/>
      <w:r>
        <w:t>CAA</w:t>
      </w:r>
      <w:proofErr w:type="spellEnd"/>
      <w:r>
        <w:t xml:space="preserve">, Congress set up an extensive scheme to regulate the emissions of </w:t>
      </w:r>
      <w:proofErr w:type="spellStart"/>
      <w:r>
        <w:t>VOCs</w:t>
      </w:r>
      <w:bookmarkStart w:id="26" w:name="_MD_Rev37"/>
      <w:bookmarkStart w:id="27" w:name="_MD_Rev152"/>
      <w:bookmarkEnd w:id="26"/>
      <w:proofErr w:type="spellEnd"/>
      <w:r>
        <w:t>, including ethanol emissions</w:t>
      </w:r>
      <w:bookmarkEnd w:id="27"/>
      <w:r>
        <w:t xml:space="preserve">.  </w:t>
      </w:r>
      <w:r>
        <w:rPr>
          <w:i/>
        </w:rPr>
        <w:t>See, e.g.</w:t>
      </w:r>
      <w:r>
        <w:t xml:space="preserve">, 40 </w:t>
      </w:r>
      <w:proofErr w:type="spellStart"/>
      <w:r>
        <w:t>C.F.R</w:t>
      </w:r>
      <w:proofErr w:type="spellEnd"/>
      <w:r>
        <w:t>. § 51.100(s) (defining “volatile organic compounds” to include ethanol</w:t>
      </w:r>
      <w:r>
        <w:t xml:space="preserve">); 12-9 </w:t>
      </w:r>
      <w:proofErr w:type="spellStart"/>
      <w:r>
        <w:t>V.I</w:t>
      </w:r>
      <w:proofErr w:type="spellEnd"/>
      <w:r>
        <w:t xml:space="preserve">. R. &amp; </w:t>
      </w:r>
      <w:proofErr w:type="spellStart"/>
      <w:r>
        <w:t>Regs</w:t>
      </w:r>
      <w:proofErr w:type="spellEnd"/>
      <w:r>
        <w:t>. § 204-20(</w:t>
      </w:r>
      <w:proofErr w:type="spellStart"/>
      <w:r>
        <w:t>ddd</w:t>
      </w:r>
      <w:proofErr w:type="spellEnd"/>
      <w:r>
        <w:t xml:space="preserve">) (defining “regulated air pollutants” to include “any volatile organic compounds”).  </w:t>
      </w:r>
    </w:p>
    <w:p w:rsidR="00487786" w:rsidRDefault="009C73ED">
      <w:pPr>
        <w:spacing w:line="480" w:lineRule="auto"/>
      </w:pPr>
      <w:r>
        <w:tab/>
        <w:t xml:space="preserve">Under the </w:t>
      </w:r>
      <w:bookmarkStart w:id="28" w:name="_MD_Rev38"/>
      <w:bookmarkStart w:id="29" w:name="_MD_Rev153"/>
      <w:bookmarkEnd w:id="28"/>
      <w:proofErr w:type="spellStart"/>
      <w:r>
        <w:t>CAA</w:t>
      </w:r>
      <w:bookmarkEnd w:id="29"/>
      <w:proofErr w:type="spellEnd"/>
      <w:r>
        <w:t>, each state or territory must enact a state implementation plan or “SIP” consistent with the</w:t>
      </w:r>
      <w:bookmarkStart w:id="30" w:name="_MD_Rev154"/>
      <w:r>
        <w:t xml:space="preserve"> </w:t>
      </w:r>
      <w:proofErr w:type="spellStart"/>
      <w:r>
        <w:t>CAA’s</w:t>
      </w:r>
      <w:bookmarkEnd w:id="30"/>
      <w:proofErr w:type="spellEnd"/>
      <w:r>
        <w:t xml:space="preserve"> mandates</w:t>
      </w:r>
      <w:bookmarkStart w:id="31" w:name="_MD_Rev39"/>
      <w:bookmarkEnd w:id="31"/>
      <w:r>
        <w:t>.</w:t>
      </w:r>
      <w:r>
        <w:rPr>
          <w:rStyle w:val="FootnoteReference"/>
        </w:rPr>
        <w:footnoteReference w:id="2"/>
      </w:r>
      <w:r>
        <w:t xml:space="preserve">  </w:t>
      </w:r>
      <w:bookmarkStart w:id="32" w:name="_MD_Rev40"/>
      <w:bookmarkStart w:id="33" w:name="_MD_Rev155"/>
      <w:bookmarkEnd w:id="32"/>
      <w:r>
        <w:t xml:space="preserve">The </w:t>
      </w:r>
      <w:bookmarkEnd w:id="33"/>
      <w:r>
        <w:t>USVI’s SIP</w:t>
      </w:r>
      <w:bookmarkStart w:id="34" w:name="_MD_Rev41"/>
      <w:bookmarkStart w:id="35" w:name="_MD_Rev156"/>
      <w:bookmarkEnd w:id="34"/>
      <w:r>
        <w:t xml:space="preserve"> requires both</w:t>
      </w:r>
      <w:bookmarkEnd w:id="35"/>
      <w:r>
        <w:t xml:space="preserve"> Cruzan and Diageo </w:t>
      </w:r>
      <w:proofErr w:type="spellStart"/>
      <w:r>
        <w:t>USVI</w:t>
      </w:r>
      <w:proofErr w:type="spellEnd"/>
      <w:r>
        <w:t xml:space="preserve"> </w:t>
      </w:r>
      <w:bookmarkStart w:id="36" w:name="_MD_Rev42"/>
      <w:bookmarkStart w:id="37" w:name="_MD_Rev157"/>
      <w:bookmarkEnd w:id="36"/>
      <w:r>
        <w:t xml:space="preserve">to </w:t>
      </w:r>
      <w:bookmarkEnd w:id="37"/>
      <w:r>
        <w:t xml:space="preserve">maintain permits in order to operate their aging facilities.  12-9 </w:t>
      </w:r>
      <w:proofErr w:type="spellStart"/>
      <w:r>
        <w:t>V.I</w:t>
      </w:r>
      <w:proofErr w:type="spellEnd"/>
      <w:r>
        <w:t xml:space="preserve">. R. &amp; </w:t>
      </w:r>
      <w:proofErr w:type="spellStart"/>
      <w:r>
        <w:t>Regs</w:t>
      </w:r>
      <w:proofErr w:type="spellEnd"/>
      <w:r>
        <w:t xml:space="preserve">. § 206-20(c).  The </w:t>
      </w:r>
      <w:proofErr w:type="spellStart"/>
      <w:r>
        <w:t>USVI</w:t>
      </w:r>
      <w:proofErr w:type="spellEnd"/>
      <w:r>
        <w:t xml:space="preserve"> </w:t>
      </w:r>
      <w:proofErr w:type="spellStart"/>
      <w:r>
        <w:t>DPNR</w:t>
      </w:r>
      <w:proofErr w:type="spellEnd"/>
      <w:r>
        <w:t>—working in concert with EPA—oversees the permitting process and Defendants’ emissions</w:t>
      </w:r>
      <w:bookmarkStart w:id="38" w:name="_MD_Rev43"/>
      <w:bookmarkEnd w:id="38"/>
      <w:r>
        <w:t xml:space="preserve">.  12 </w:t>
      </w:r>
      <w:proofErr w:type="spellStart"/>
      <w:r>
        <w:t>V.I</w:t>
      </w:r>
      <w:r>
        <w:t>.C</w:t>
      </w:r>
      <w:proofErr w:type="spellEnd"/>
      <w:r>
        <w:t xml:space="preserve">. § 218(a)(2), (c) (requiring each proposed permit to be submitted to and approved by EPA); 12-9 </w:t>
      </w:r>
      <w:proofErr w:type="spellStart"/>
      <w:r>
        <w:t>V.I</w:t>
      </w:r>
      <w:proofErr w:type="spellEnd"/>
      <w:r>
        <w:t xml:space="preserve">. R. &amp; </w:t>
      </w:r>
      <w:proofErr w:type="spellStart"/>
      <w:r>
        <w:t>Regs</w:t>
      </w:r>
      <w:proofErr w:type="spellEnd"/>
      <w:r>
        <w:t xml:space="preserve">. §§ 206-26, 206-27 (standards for </w:t>
      </w:r>
      <w:proofErr w:type="spellStart"/>
      <w:r>
        <w:t>DPNR</w:t>
      </w:r>
      <w:proofErr w:type="spellEnd"/>
      <w:r>
        <w:t xml:space="preserve"> review of construction and operation permit applications).  </w:t>
      </w:r>
    </w:p>
    <w:p w:rsidR="00487786" w:rsidRDefault="009C73ED">
      <w:pPr>
        <w:spacing w:line="480" w:lineRule="auto"/>
      </w:pPr>
      <w:r>
        <w:tab/>
        <w:t xml:space="preserve">For example, when Diageo </w:t>
      </w:r>
      <w:proofErr w:type="spellStart"/>
      <w:r>
        <w:t>USVI</w:t>
      </w:r>
      <w:proofErr w:type="spellEnd"/>
      <w:r>
        <w:t xml:space="preserve"> established</w:t>
      </w:r>
      <w:r>
        <w:t xml:space="preserve"> its rum operations in St. Croix, it evaluated ethanol emissions, discussed them with EPA and </w:t>
      </w:r>
      <w:proofErr w:type="spellStart"/>
      <w:r>
        <w:t>DPNR</w:t>
      </w:r>
      <w:proofErr w:type="spellEnd"/>
      <w:r>
        <w:t>,</w:t>
      </w:r>
      <w:r>
        <w:rPr>
          <w:rStyle w:val="FootnoteReference"/>
        </w:rPr>
        <w:footnoteReference w:id="3"/>
      </w:r>
      <w:r>
        <w:t xml:space="preserve"> and submitted a </w:t>
      </w:r>
      <w:r>
        <w:lastRenderedPageBreak/>
        <w:t>permit application for its aging warehouse that explained the emissions should be treated as “fugitive” emissions—</w:t>
      </w:r>
      <w:r>
        <w:rPr>
          <w:i/>
        </w:rPr>
        <w:t>i.e.,</w:t>
      </w:r>
      <w:r>
        <w:t xml:space="preserve"> emissions that cann</w:t>
      </w:r>
      <w:r>
        <w:t>ot reasonably be captured through control technology.</w:t>
      </w:r>
      <w:r>
        <w:rPr>
          <w:rStyle w:val="FootnoteReference"/>
        </w:rPr>
        <w:footnoteReference w:id="4"/>
      </w:r>
      <w:r>
        <w:t xml:space="preserve">  </w:t>
      </w:r>
      <w:r>
        <w:rPr>
          <w:i/>
        </w:rPr>
        <w:t xml:space="preserve">See </w:t>
      </w:r>
      <w:r>
        <w:t xml:space="preserve">Diageo </w:t>
      </w:r>
      <w:proofErr w:type="spellStart"/>
      <w:r>
        <w:t>USVI</w:t>
      </w:r>
      <w:proofErr w:type="spellEnd"/>
      <w:r>
        <w:t>, Authority to Construct and Permit to Operate General Permit Application, Rum Storage Warehouses (May 2009) (“Permit Application”) (Exhibit 3).  As the Permit Application explained:</w:t>
      </w:r>
    </w:p>
    <w:p w:rsidR="00487786" w:rsidRDefault="009C73ED">
      <w:pPr>
        <w:ind w:left="720" w:right="720"/>
      </w:pPr>
      <w:r>
        <w:t>Th</w:t>
      </w:r>
      <w:r>
        <w:t>e emissions from this facility should be treated as fugitive for the same reasons presented in a recent decision by the Indiana Office of Environmental Adjudication (Ref. 1; Attachment G).  In this decision, the emissions from a Seagram’s Whiskey aging war</w:t>
      </w:r>
      <w:r>
        <w:t>ehouse were deemed to be fugitive after considering the EPA definition of fugitive emissions, the reasonableness of collecting emissions, and extensive evidence presented regarding the negative effect the collection of ethanol emissions would have on the a</w:t>
      </w:r>
      <w:r>
        <w:t xml:space="preserve">ging process.  </w:t>
      </w:r>
    </w:p>
    <w:p w:rsidR="00487786" w:rsidRDefault="00487786">
      <w:pPr>
        <w:ind w:left="720"/>
      </w:pPr>
    </w:p>
    <w:p w:rsidR="00487786" w:rsidRDefault="009C73ED">
      <w:pPr>
        <w:spacing w:line="480" w:lineRule="auto"/>
      </w:pPr>
      <w:r>
        <w:rPr>
          <w:i/>
        </w:rPr>
        <w:t>See id.</w:t>
      </w:r>
      <w:r>
        <w:t xml:space="preserve"> at 6-7 under “Project Description.”</w:t>
      </w:r>
      <w:r>
        <w:rPr>
          <w:rStyle w:val="FootnoteReference"/>
        </w:rPr>
        <w:footnoteReference w:id="5"/>
      </w:r>
      <w:r>
        <w:t xml:space="preserve">  </w:t>
      </w:r>
    </w:p>
    <w:p w:rsidR="00487786" w:rsidRDefault="009C73ED">
      <w:pPr>
        <w:spacing w:line="480" w:lineRule="auto"/>
      </w:pPr>
      <w:r>
        <w:tab/>
        <w:t xml:space="preserve">The Indiana Office of Environmental Adjudication decision, to which the Permit Application referred, found that ethanol “emissions are not collected at other similar facilities and that U.S. </w:t>
      </w:r>
      <w:r>
        <w:t xml:space="preserve">EPA has not identified any reasonably available control </w:t>
      </w:r>
      <w:r>
        <w:lastRenderedPageBreak/>
        <w:t>technology (</w:t>
      </w:r>
      <w:proofErr w:type="spellStart"/>
      <w:r>
        <w:t>RACT</w:t>
      </w:r>
      <w:proofErr w:type="spellEnd"/>
      <w:r>
        <w:t xml:space="preserve">) for ethanol emissions from alcohol beverage aging warehouses.”  In re: Objection to the Issuance of Part 70 Operating Permit No. T-137-6928-00011 for Joseph E. Seagram &amp; Sons, Inc., </w:t>
      </w:r>
      <w:r>
        <w:t xml:space="preserve">Ripley County, Indiana, 2004 </w:t>
      </w:r>
      <w:proofErr w:type="spellStart"/>
      <w:r>
        <w:t>OEA</w:t>
      </w:r>
      <w:proofErr w:type="spellEnd"/>
      <w:r>
        <w:t xml:space="preserve"> 58, ¶ 21 (03-AZ-J-3003) (Aug. 4, 2004), </w:t>
      </w:r>
      <w:r>
        <w:rPr>
          <w:i/>
        </w:rPr>
        <w:t>available at</w:t>
      </w:r>
      <w:r>
        <w:t xml:space="preserve"> http://www.in.gov/oea/decisions/2004oea58.pdf.  Indeed, for over three decades, EPA has taken the consistent position that ethanol emissions from distilled spirits aging </w:t>
      </w:r>
      <w:r>
        <w:t xml:space="preserve">facilities cannot be reasonably captured due to cost and the negative impact that control technology would have on product quality.  </w:t>
      </w:r>
      <w:r>
        <w:rPr>
          <w:i/>
        </w:rPr>
        <w:t xml:space="preserve">See </w:t>
      </w:r>
      <w:r>
        <w:t xml:space="preserve">EPA, EPA-450/2-78-013, Cost and Engineering Study – Control of Volatile Organic Emissions from Whiskey Warehousing, p. </w:t>
      </w:r>
      <w:r>
        <w:t>1-4 (1978) (due to cost and effect on product quality, “control of emissions from whiskey warehousing [including empty barrel storage] has not been demonstrated at this time”) (Exhibit 4); EPA, EPA Contract 68-</w:t>
      </w:r>
      <w:proofErr w:type="spellStart"/>
      <w:r>
        <w:t>D2</w:t>
      </w:r>
      <w:proofErr w:type="spellEnd"/>
      <w:r>
        <w:t>-0159, Emission Factor Documentation for AP-</w:t>
      </w:r>
      <w:r>
        <w:t xml:space="preserve">42 Section 9.12.3 – Distilled Spirits, Final Report, pp. 2-12 (1997) (noting “adverse impact” that ethanol control systems would have on product quality) (Exhibit 5); Letter from John C. Beale, Deputy Assistant Administrator for Air and Radiation, EPA, to </w:t>
      </w:r>
      <w:r>
        <w:t xml:space="preserve">the Honorable Robert C. Smith, U.S. Senate (Oct. 23, 2000) (EPA has not identified any “available technology which it considers to be </w:t>
      </w:r>
      <w:proofErr w:type="spellStart"/>
      <w:r>
        <w:t>RACT</w:t>
      </w:r>
      <w:proofErr w:type="spellEnd"/>
      <w:r>
        <w:t xml:space="preserve"> for alcohol beverage aging warehouses”) (Exhibit 6).  </w:t>
      </w:r>
    </w:p>
    <w:p w:rsidR="00487786" w:rsidRDefault="009C73ED">
      <w:pPr>
        <w:spacing w:line="480" w:lineRule="auto"/>
      </w:pPr>
      <w:r>
        <w:tab/>
        <w:t xml:space="preserve">Exercising their expert judgment, EPA and </w:t>
      </w:r>
      <w:proofErr w:type="spellStart"/>
      <w:r>
        <w:t>DPNR</w:t>
      </w:r>
      <w:proofErr w:type="spellEnd"/>
      <w:r>
        <w:t xml:space="preserve"> agreed that th</w:t>
      </w:r>
      <w:r>
        <w:t xml:space="preserve">e emissions from Diageo USVI’s aging warehouse are “fugitive,” which was essential to Diageo USVI’s classification as a “minor source” rather than a “major source.”  </w:t>
      </w:r>
      <w:r>
        <w:rPr>
          <w:i/>
        </w:rPr>
        <w:t>See</w:t>
      </w:r>
      <w:r>
        <w:t xml:space="preserve"> 40 </w:t>
      </w:r>
      <w:proofErr w:type="spellStart"/>
      <w:r>
        <w:t>C.F.R</w:t>
      </w:r>
      <w:proofErr w:type="spellEnd"/>
      <w:r>
        <w:t>. § 52.21(b)(1)(iii) (fugitive emissions “shall not be included in determining</w:t>
      </w:r>
      <w:r>
        <w:t xml:space="preserve">” whether source is a “major stationary source”); 12-9 </w:t>
      </w:r>
      <w:proofErr w:type="spellStart"/>
      <w:r>
        <w:t>V.I</w:t>
      </w:r>
      <w:proofErr w:type="spellEnd"/>
      <w:r>
        <w:t xml:space="preserve">. R. &amp; </w:t>
      </w:r>
      <w:proofErr w:type="spellStart"/>
      <w:r>
        <w:t>Regs</w:t>
      </w:r>
      <w:proofErr w:type="spellEnd"/>
      <w:r>
        <w:t>. § 204-20(</w:t>
      </w:r>
      <w:proofErr w:type="spellStart"/>
      <w:r>
        <w:t>hh</w:t>
      </w:r>
      <w:proofErr w:type="spellEnd"/>
      <w:r>
        <w:t xml:space="preserve">)(2) (stating the same).  </w:t>
      </w:r>
      <w:proofErr w:type="spellStart"/>
      <w:r>
        <w:lastRenderedPageBreak/>
        <w:t>DPNR</w:t>
      </w:r>
      <w:proofErr w:type="spellEnd"/>
      <w:r>
        <w:t xml:space="preserve"> thus issued “minor source” permits to Diageo </w:t>
      </w:r>
      <w:proofErr w:type="spellStart"/>
      <w:r>
        <w:t>USVI</w:t>
      </w:r>
      <w:proofErr w:type="spellEnd"/>
      <w:r>
        <w:t xml:space="preserve"> for the construction and operation of its aging warehouse.  </w:t>
      </w:r>
      <w:r>
        <w:rPr>
          <w:i/>
        </w:rPr>
        <w:t xml:space="preserve">See </w:t>
      </w:r>
      <w:proofErr w:type="spellStart"/>
      <w:r>
        <w:t>DPNR</w:t>
      </w:r>
      <w:proofErr w:type="spellEnd"/>
      <w:r>
        <w:t>, Minor Source Permit Aut</w:t>
      </w:r>
      <w:r>
        <w:t xml:space="preserve">hority To Construct, Permit No. </w:t>
      </w:r>
      <w:proofErr w:type="spellStart"/>
      <w:r>
        <w:t>STX</w:t>
      </w:r>
      <w:proofErr w:type="spellEnd"/>
      <w:r>
        <w:t xml:space="preserve">-792-A-B-09 (Exhibit 7); </w:t>
      </w:r>
      <w:proofErr w:type="spellStart"/>
      <w:r>
        <w:t>DPNR</w:t>
      </w:r>
      <w:proofErr w:type="spellEnd"/>
      <w:r>
        <w:t xml:space="preserve">, Minor Source Permit To Operate, </w:t>
      </w:r>
      <w:proofErr w:type="spellStart"/>
      <w:r>
        <w:t>STX</w:t>
      </w:r>
      <w:proofErr w:type="spellEnd"/>
      <w:r>
        <w:t xml:space="preserve">-792-A-B-11 (Exhibit 8).  These permits did not require Diageo </w:t>
      </w:r>
      <w:proofErr w:type="spellStart"/>
      <w:r>
        <w:t>USVI</w:t>
      </w:r>
      <w:proofErr w:type="spellEnd"/>
      <w:r>
        <w:t xml:space="preserve"> to implement any type of control technology to stop ethanol from escaping from the rum-</w:t>
      </w:r>
      <w:r>
        <w:t xml:space="preserve">aging warehouse.  Likewise, Cruzan’s permits have never required it to control ethanol emissions from its rum-aging warehouse.  </w:t>
      </w:r>
      <w:bookmarkStart w:id="51" w:name="_MD_Rev159"/>
      <w:r>
        <w:t xml:space="preserve">Plaintiffs could have—but did not—object to the Defendants’ final permits in territorial courts.  </w:t>
      </w:r>
      <w:r>
        <w:rPr>
          <w:i/>
        </w:rPr>
        <w:t>See</w:t>
      </w:r>
      <w:r>
        <w:t xml:space="preserve"> 12 </w:t>
      </w:r>
      <w:proofErr w:type="spellStart"/>
      <w:r>
        <w:t>V.I.C</w:t>
      </w:r>
      <w:proofErr w:type="spellEnd"/>
      <w:r>
        <w:t>. § 206(e) (author</w:t>
      </w:r>
      <w:r>
        <w:t>izing review of permit issuance).</w:t>
      </w:r>
      <w:bookmarkEnd w:id="51"/>
    </w:p>
    <w:p w:rsidR="00487786" w:rsidRDefault="009C73ED">
      <w:pPr>
        <w:spacing w:line="480" w:lineRule="auto"/>
      </w:pPr>
      <w:r>
        <w:tab/>
      </w:r>
      <w:bookmarkStart w:id="52" w:name="_MD_Rev160"/>
      <w:r>
        <w:t xml:space="preserve">Exercising its authority under the </w:t>
      </w:r>
      <w:proofErr w:type="spellStart"/>
      <w:r>
        <w:t>USVI’s</w:t>
      </w:r>
      <w:proofErr w:type="spellEnd"/>
      <w:r>
        <w:t xml:space="preserve"> SIP, </w:t>
      </w:r>
      <w:proofErr w:type="spellStart"/>
      <w:r>
        <w:t>DPNR</w:t>
      </w:r>
      <w:proofErr w:type="spellEnd"/>
      <w:r>
        <w:t xml:space="preserve"> recently sent letters to Defendants regarding citizen complaints relating to Defendants’ ethanol emissions.  </w:t>
      </w:r>
      <w:bookmarkStart w:id="53" w:name="_MD_Rev94"/>
      <w:bookmarkEnd w:id="53"/>
      <w:r>
        <w:rPr>
          <w:i/>
        </w:rPr>
        <w:t>See</w:t>
      </w:r>
      <w:r>
        <w:t xml:space="preserve"> Letter from Alicia Barnes, Commissioner, </w:t>
      </w:r>
      <w:proofErr w:type="spellStart"/>
      <w:r>
        <w:t>DPNR</w:t>
      </w:r>
      <w:proofErr w:type="spellEnd"/>
      <w:r>
        <w:t>, to Dan Ki</w:t>
      </w:r>
      <w:r>
        <w:t xml:space="preserve">rby, Vice President, Diageo </w:t>
      </w:r>
      <w:proofErr w:type="spellStart"/>
      <w:r>
        <w:t>USVI</w:t>
      </w:r>
      <w:proofErr w:type="spellEnd"/>
      <w:r>
        <w:t xml:space="preserve"> (July 8, 2013) (Exhibit 9); Letter from Alicia Barnes, Commissioner, </w:t>
      </w:r>
      <w:proofErr w:type="spellStart"/>
      <w:r>
        <w:t>DPNR</w:t>
      </w:r>
      <w:proofErr w:type="spellEnd"/>
      <w:r>
        <w:t xml:space="preserve">, to Gary </w:t>
      </w:r>
      <w:proofErr w:type="spellStart"/>
      <w:r>
        <w:t>Nelthropp</w:t>
      </w:r>
      <w:proofErr w:type="spellEnd"/>
      <w:r>
        <w:t xml:space="preserve">, Vice President, Virgin Islands Rum Ltd. / Cruzan Rum (July 8, 2013) (Exhibit 10).  As a result, Defendants and </w:t>
      </w:r>
      <w:proofErr w:type="spellStart"/>
      <w:r>
        <w:t>DPNR</w:t>
      </w:r>
      <w:proofErr w:type="spellEnd"/>
      <w:r>
        <w:t xml:space="preserve"> have begun a </w:t>
      </w:r>
      <w:r>
        <w:t xml:space="preserve">dialogue on the issue.  Working with </w:t>
      </w:r>
      <w:proofErr w:type="spellStart"/>
      <w:r>
        <w:t>DPNR</w:t>
      </w:r>
      <w:proofErr w:type="spellEnd"/>
      <w:r>
        <w:t>, Defendants hope to find an amicable resolution.</w:t>
      </w:r>
      <w:bookmarkStart w:id="54" w:name="_MD_Rev44"/>
      <w:bookmarkEnd w:id="52"/>
      <w:bookmarkEnd w:id="54"/>
    </w:p>
    <w:p w:rsidR="00487786" w:rsidRDefault="009C73ED">
      <w:pPr>
        <w:spacing w:line="480" w:lineRule="auto"/>
        <w:rPr>
          <w:b/>
        </w:rPr>
      </w:pPr>
      <w:r>
        <w:tab/>
      </w:r>
      <w:r>
        <w:rPr>
          <w:b/>
        </w:rPr>
        <w:t>B.</w:t>
      </w:r>
      <w:r>
        <w:rPr>
          <w:b/>
        </w:rPr>
        <w:tab/>
        <w:t>Plaintiffs</w:t>
      </w:r>
    </w:p>
    <w:p w:rsidR="00487786" w:rsidRDefault="009C73ED">
      <w:pPr>
        <w:spacing w:line="480" w:lineRule="auto"/>
        <w:rPr>
          <w:lang w:val="en"/>
        </w:rPr>
      </w:pPr>
      <w:r>
        <w:rPr>
          <w:lang w:val="en"/>
        </w:rPr>
        <w:tab/>
        <w:t>The named Plaintiffs own or rent property in subdivisions downwind of Estate Diamond, where Defendants operate their aging facilities.</w:t>
      </w:r>
      <w:r>
        <w:rPr>
          <w:rStyle w:val="FootnoteReference"/>
          <w:lang w:val="en"/>
        </w:rPr>
        <w:footnoteReference w:id="6"/>
      </w:r>
      <w:r>
        <w:rPr>
          <w:lang w:val="en"/>
        </w:rPr>
        <w:t xml:space="preserve">  As the Court</w:t>
      </w:r>
      <w:r>
        <w:rPr>
          <w:lang w:val="en"/>
        </w:rPr>
        <w:t xml:space="preserve"> knows, the </w:t>
      </w:r>
      <w:r>
        <w:rPr>
          <w:lang w:val="en"/>
        </w:rPr>
        <w:lastRenderedPageBreak/>
        <w:t xml:space="preserve">wind on St. Croix blows almost exclusively from the East—over </w:t>
      </w:r>
      <w:proofErr w:type="spellStart"/>
      <w:r>
        <w:rPr>
          <w:lang w:val="en"/>
        </w:rPr>
        <w:t>HOVENSA</w:t>
      </w:r>
      <w:proofErr w:type="spellEnd"/>
      <w:r>
        <w:rPr>
          <w:lang w:val="en"/>
        </w:rPr>
        <w:t xml:space="preserve">, the </w:t>
      </w:r>
      <w:proofErr w:type="spellStart"/>
      <w:r>
        <w:rPr>
          <w:lang w:val="en"/>
        </w:rPr>
        <w:t>Rohlsen</w:t>
      </w:r>
      <w:proofErr w:type="spellEnd"/>
      <w:r>
        <w:rPr>
          <w:lang w:val="en"/>
        </w:rPr>
        <w:t xml:space="preserve"> airport, Estate Diamond, and then Enfield Green and William’s Delight.  Exhibit 12.  The named Plaintiffs are all to the west of the </w:t>
      </w:r>
      <w:proofErr w:type="spellStart"/>
      <w:r>
        <w:rPr>
          <w:lang w:val="en"/>
        </w:rPr>
        <w:t>HOVENSA</w:t>
      </w:r>
      <w:proofErr w:type="spellEnd"/>
      <w:r>
        <w:rPr>
          <w:lang w:val="en"/>
        </w:rPr>
        <w:t xml:space="preserve"> plant, the </w:t>
      </w:r>
      <w:proofErr w:type="spellStart"/>
      <w:r>
        <w:rPr>
          <w:lang w:val="en"/>
        </w:rPr>
        <w:t>Rohlsen</w:t>
      </w:r>
      <w:proofErr w:type="spellEnd"/>
      <w:r>
        <w:rPr>
          <w:lang w:val="en"/>
        </w:rPr>
        <w:t xml:space="preserve"> A</w:t>
      </w:r>
      <w:r>
        <w:rPr>
          <w:lang w:val="en"/>
        </w:rPr>
        <w:t xml:space="preserve">irport, and the rum-aging warehouses, within the same downwind track.  </w:t>
      </w:r>
    </w:p>
    <w:p w:rsidR="00487786" w:rsidRDefault="009C73ED">
      <w:pPr>
        <w:spacing w:line="480" w:lineRule="auto"/>
        <w:rPr>
          <w:lang w:val="en"/>
        </w:rPr>
      </w:pPr>
      <w:r>
        <w:rPr>
          <w:lang w:val="en"/>
        </w:rPr>
        <w:tab/>
        <w:t>The named Plaintiffs complain that their properties</w:t>
      </w:r>
      <w:bookmarkStart w:id="55" w:name="_MD_Rev45"/>
      <w:bookmarkStart w:id="56" w:name="_MD_Rev161"/>
      <w:bookmarkEnd w:id="55"/>
      <w:r>
        <w:rPr>
          <w:lang w:val="en"/>
        </w:rPr>
        <w:t xml:space="preserve"> </w:t>
      </w:r>
      <w:bookmarkEnd w:id="56"/>
      <w:r>
        <w:rPr>
          <w:lang w:val="en"/>
        </w:rPr>
        <w:t xml:space="preserve">exhibit stains, which they assert are caused by ethanol emissions emitted from Defendants’ facilities.  </w:t>
      </w:r>
      <w:proofErr w:type="spellStart"/>
      <w:r>
        <w:rPr>
          <w:lang w:val="en"/>
        </w:rPr>
        <w:t>Compl</w:t>
      </w:r>
      <w:proofErr w:type="spellEnd"/>
      <w:r>
        <w:rPr>
          <w:lang w:val="en"/>
        </w:rPr>
        <w:t>. ¶ 37.  Specifically,</w:t>
      </w:r>
      <w:r>
        <w:rPr>
          <w:lang w:val="en"/>
        </w:rPr>
        <w:t xml:space="preserve"> they claim that the ethanol emitted from Defendants’ facilities—as opposed to the many other airborne contaminants (such as jet fuel residue from the airport) that have blown over their properties for years—“combine[s] with condensation on Plaintiffs’ pro</w:t>
      </w:r>
      <w:r>
        <w:rPr>
          <w:lang w:val="en"/>
        </w:rPr>
        <w:t xml:space="preserve">perty” to catalyze growth of a mold known as </w:t>
      </w:r>
      <w:proofErr w:type="spellStart"/>
      <w:r>
        <w:rPr>
          <w:i/>
          <w:lang w:val="en"/>
        </w:rPr>
        <w:t>Baudoinia</w:t>
      </w:r>
      <w:proofErr w:type="spellEnd"/>
      <w:r>
        <w:rPr>
          <w:i/>
          <w:lang w:val="en"/>
        </w:rPr>
        <w:t xml:space="preserve"> </w:t>
      </w:r>
      <w:proofErr w:type="spellStart"/>
      <w:r>
        <w:rPr>
          <w:i/>
          <w:lang w:val="en"/>
        </w:rPr>
        <w:t>compniacensis</w:t>
      </w:r>
      <w:proofErr w:type="spellEnd"/>
      <w:r>
        <w:rPr>
          <w:lang w:val="en"/>
        </w:rPr>
        <w:t xml:space="preserve">.  </w:t>
      </w:r>
      <w:proofErr w:type="spellStart"/>
      <w:r>
        <w:rPr>
          <w:lang w:val="en"/>
        </w:rPr>
        <w:t>Compl</w:t>
      </w:r>
      <w:proofErr w:type="spellEnd"/>
      <w:r>
        <w:rPr>
          <w:lang w:val="en"/>
        </w:rPr>
        <w:t>. ¶¶ 30, 32.  All of the named Plaintiffs or their landlords purchased the homes at issue between 1990 and 2007.</w:t>
      </w:r>
      <w:r>
        <w:rPr>
          <w:rStyle w:val="FootnoteReference"/>
          <w:lang w:val="en"/>
        </w:rPr>
        <w:footnoteReference w:id="7"/>
      </w:r>
      <w:r>
        <w:rPr>
          <w:lang w:val="en"/>
        </w:rPr>
        <w:t xml:space="preserve">  This is long after rum-aging facilities, which allegedly cause su</w:t>
      </w:r>
      <w:r>
        <w:rPr>
          <w:lang w:val="en"/>
        </w:rPr>
        <w:t xml:space="preserve">ch a “stain,” were operating in Estate Diamond.  </w:t>
      </w:r>
      <w:proofErr w:type="spellStart"/>
      <w:r>
        <w:rPr>
          <w:lang w:val="en"/>
        </w:rPr>
        <w:t>Compl</w:t>
      </w:r>
      <w:proofErr w:type="spellEnd"/>
      <w:r>
        <w:rPr>
          <w:lang w:val="en"/>
        </w:rPr>
        <w:t xml:space="preserve">. ¶ 37.   </w:t>
      </w:r>
    </w:p>
    <w:p w:rsidR="00487786" w:rsidRDefault="00487786">
      <w:pPr>
        <w:spacing w:line="480" w:lineRule="auto"/>
        <w:rPr>
          <w:lang w:val="en"/>
        </w:rPr>
      </w:pPr>
    </w:p>
    <w:p w:rsidR="00487786" w:rsidRDefault="009C73ED">
      <w:pPr>
        <w:spacing w:line="480" w:lineRule="auto"/>
        <w:rPr>
          <w:b/>
        </w:rPr>
      </w:pPr>
      <w:bookmarkStart w:id="57" w:name="_MD_Rev46"/>
      <w:bookmarkEnd w:id="57"/>
      <w:r>
        <w:rPr>
          <w:b/>
          <w:lang w:val="en"/>
        </w:rPr>
        <w:t>III.</w:t>
      </w:r>
      <w:r>
        <w:rPr>
          <w:b/>
          <w:lang w:val="en"/>
        </w:rPr>
        <w:tab/>
      </w:r>
      <w:r>
        <w:rPr>
          <w:b/>
        </w:rPr>
        <w:t>Rule 12(b)(6) Standard</w:t>
      </w:r>
    </w:p>
    <w:p w:rsidR="00487786" w:rsidRDefault="009C73ED">
      <w:pPr>
        <w:tabs>
          <w:tab w:val="left" w:pos="720"/>
          <w:tab w:val="left" w:pos="1440"/>
          <w:tab w:val="left" w:pos="2160"/>
          <w:tab w:val="left" w:pos="2880"/>
          <w:tab w:val="left" w:pos="3600"/>
          <w:tab w:val="left" w:pos="4320"/>
          <w:tab w:val="left" w:pos="5040"/>
          <w:tab w:val="left" w:pos="5760"/>
        </w:tabs>
        <w:spacing w:line="480" w:lineRule="auto"/>
      </w:pPr>
      <w:r>
        <w:tab/>
        <w:t xml:space="preserve">To survive a motion to dismiss, a complaint must demonstrate that the plaintiffs’ claims are more than just “conceivable,” but are in fact “plausible on [their] </w:t>
      </w:r>
      <w:r>
        <w:t xml:space="preserve">face.”  </w:t>
      </w:r>
      <w:r>
        <w:rPr>
          <w:i/>
          <w:iCs/>
        </w:rPr>
        <w:t xml:space="preserve">Bell Atlantic Corp. v. </w:t>
      </w:r>
      <w:proofErr w:type="spellStart"/>
      <w:r>
        <w:rPr>
          <w:i/>
          <w:iCs/>
        </w:rPr>
        <w:t>Twombly</w:t>
      </w:r>
      <w:proofErr w:type="spellEnd"/>
      <w:r>
        <w:rPr>
          <w:i/>
          <w:iCs/>
        </w:rPr>
        <w:t xml:space="preserve">, </w:t>
      </w:r>
      <w:r>
        <w:t xml:space="preserve">550 U.S. 544, 555 (2007); </w:t>
      </w:r>
      <w:r>
        <w:rPr>
          <w:i/>
          <w:iCs/>
        </w:rPr>
        <w:t xml:space="preserve">Ashcroft v. </w:t>
      </w:r>
      <w:proofErr w:type="spellStart"/>
      <w:r>
        <w:rPr>
          <w:i/>
          <w:iCs/>
        </w:rPr>
        <w:t>Iqbal</w:t>
      </w:r>
      <w:proofErr w:type="spellEnd"/>
      <w:r>
        <w:t xml:space="preserve">, 556 U.S. 662, 678 (2009) (quoting </w:t>
      </w:r>
      <w:proofErr w:type="spellStart"/>
      <w:r>
        <w:rPr>
          <w:i/>
          <w:iCs/>
        </w:rPr>
        <w:t>Twombly</w:t>
      </w:r>
      <w:proofErr w:type="spellEnd"/>
      <w:r>
        <w:t xml:space="preserve">, 550 U.S. at 570).  In applying this plausibility standard, </w:t>
      </w:r>
      <w:r>
        <w:lastRenderedPageBreak/>
        <w:t xml:space="preserve">the Court should disregard all </w:t>
      </w:r>
      <w:proofErr w:type="spellStart"/>
      <w:r>
        <w:t>conclusory</w:t>
      </w:r>
      <w:proofErr w:type="spellEnd"/>
      <w:r>
        <w:t xml:space="preserve"> statements, even when “couc</w:t>
      </w:r>
      <w:r>
        <w:t xml:space="preserve">hed as a factual allegation.”  </w:t>
      </w:r>
      <w:proofErr w:type="spellStart"/>
      <w:r>
        <w:rPr>
          <w:i/>
          <w:iCs/>
        </w:rPr>
        <w:t>Twombly</w:t>
      </w:r>
      <w:proofErr w:type="spellEnd"/>
      <w:r>
        <w:t xml:space="preserve">, 550 U.S. at 555 (internal quotation marks and citation omitted).  Rather, the question is whether the </w:t>
      </w:r>
      <w:r>
        <w:rPr>
          <w:i/>
        </w:rPr>
        <w:t>facts</w:t>
      </w:r>
      <w:r>
        <w:t xml:space="preserve"> pled demonstrate that the claims cross the threshold from “conceivable” to “plausible,” and therefore adequa</w:t>
      </w:r>
      <w:r>
        <w:t>tely state a claim for relief.</w:t>
      </w:r>
      <w:bookmarkStart w:id="58" w:name="_MD_Rev162"/>
      <w:r>
        <w:rPr>
          <w:rStyle w:val="FootnoteReference"/>
        </w:rPr>
        <w:footnoteReference w:id="8"/>
      </w:r>
      <w:bookmarkEnd w:id="58"/>
      <w:r>
        <w:t xml:space="preserve">  </w:t>
      </w:r>
      <w:bookmarkStart w:id="60" w:name="_MD_Rev47"/>
      <w:bookmarkEnd w:id="60"/>
      <w:r>
        <w:t xml:space="preserve">Here, Plaintiffs have not stated a plausible claim for relief.  </w:t>
      </w:r>
    </w:p>
    <w:p w:rsidR="00487786" w:rsidRDefault="00487786">
      <w:pPr>
        <w:tabs>
          <w:tab w:val="left" w:pos="720"/>
          <w:tab w:val="left" w:pos="1440"/>
          <w:tab w:val="left" w:pos="2160"/>
          <w:tab w:val="left" w:pos="2880"/>
          <w:tab w:val="left" w:pos="3600"/>
          <w:tab w:val="left" w:pos="4320"/>
          <w:tab w:val="left" w:pos="5040"/>
          <w:tab w:val="left" w:pos="5760"/>
        </w:tabs>
        <w:spacing w:line="480" w:lineRule="auto"/>
      </w:pPr>
    </w:p>
    <w:p w:rsidR="00487786" w:rsidRDefault="009C73ED">
      <w:pPr>
        <w:spacing w:line="480" w:lineRule="auto"/>
        <w:rPr>
          <w:b/>
        </w:rPr>
      </w:pPr>
      <w:r>
        <w:rPr>
          <w:b/>
        </w:rPr>
        <w:t>IV.</w:t>
      </w:r>
      <w:r>
        <w:rPr>
          <w:b/>
        </w:rPr>
        <w:tab/>
        <w:t>Argument</w:t>
      </w:r>
    </w:p>
    <w:p w:rsidR="00487786" w:rsidRDefault="009C73ED">
      <w:pPr>
        <w:ind w:left="360"/>
        <w:rPr>
          <w:b/>
        </w:rPr>
      </w:pPr>
      <w:r>
        <w:rPr>
          <w:b/>
        </w:rPr>
        <w:t>A.</w:t>
      </w:r>
      <w:r>
        <w:rPr>
          <w:b/>
        </w:rPr>
        <w:tab/>
        <w:t xml:space="preserve">    The Clean Air Act Preempts Plaintiffs’ Common Law Claims</w:t>
      </w:r>
      <w:r>
        <w:rPr>
          <w:b/>
        </w:rPr>
        <w:br/>
      </w:r>
    </w:p>
    <w:p w:rsidR="00487786" w:rsidRDefault="009C73ED">
      <w:pPr>
        <w:spacing w:line="480" w:lineRule="auto"/>
      </w:pPr>
      <w:r>
        <w:tab/>
      </w:r>
      <w:r>
        <w:t xml:space="preserve"> A state law claim may be preempted through field preemption or conflict preemption.  </w:t>
      </w:r>
      <w:r>
        <w:rPr>
          <w:i/>
        </w:rPr>
        <w:t>North Carolina, ex rel. Cooper v. Tenn. Valley Auth.</w:t>
      </w:r>
      <w:r>
        <w:t xml:space="preserve"> (“</w:t>
      </w:r>
      <w:r>
        <w:rPr>
          <w:i/>
        </w:rPr>
        <w:t>TVA</w:t>
      </w:r>
      <w:r>
        <w:t xml:space="preserve">”), 615 </w:t>
      </w:r>
      <w:proofErr w:type="spellStart"/>
      <w:r>
        <w:t>F.3d</w:t>
      </w:r>
      <w:proofErr w:type="spellEnd"/>
      <w:r>
        <w:t xml:space="preserve"> 291, 303 (4th Cir. 2010).  “Field preemption” occurs where the scheme of federal regulation is “so </w:t>
      </w:r>
      <w:r>
        <w:t xml:space="preserve">pervasive as to make reasonable the inference that Congress left no room for the States to supplement it,” </w:t>
      </w:r>
      <w:r>
        <w:rPr>
          <w:i/>
        </w:rPr>
        <w:t>id.</w:t>
      </w:r>
      <w:r>
        <w:t xml:space="preserve"> (quoting </w:t>
      </w:r>
      <w:r>
        <w:rPr>
          <w:i/>
        </w:rPr>
        <w:t>Pac. Gas &amp; Elec. Co. v. State Energy Res. Conservation &amp; Dev. Comm.</w:t>
      </w:r>
      <w:r>
        <w:t>, 461 U.S. 190, 204 (1983)), while “conflict preemption” precludes cl</w:t>
      </w:r>
      <w:r>
        <w:t xml:space="preserve">aims where state law “interferes with the methods by which the federal statute was designed to reach [its] goal,” </w:t>
      </w:r>
      <w:r>
        <w:rPr>
          <w:i/>
        </w:rPr>
        <w:t xml:space="preserve">id. </w:t>
      </w:r>
      <w:r>
        <w:t xml:space="preserve">(quoting </w:t>
      </w:r>
      <w:r>
        <w:rPr>
          <w:i/>
        </w:rPr>
        <w:t>Intl. Paper Co. v. Ouellette</w:t>
      </w:r>
      <w:r>
        <w:t xml:space="preserve">, 479 U.S. 481, 494 (1987)).  Plaintiffs’ Complaint runs afoul of both.  As numerous other </w:t>
      </w:r>
      <w:r>
        <w:lastRenderedPageBreak/>
        <w:t>courts rec</w:t>
      </w:r>
      <w:r>
        <w:t xml:space="preserve">ently have done, this Court should hold that that Plaintiffs’ common law claims are preempted by the </w:t>
      </w:r>
      <w:proofErr w:type="spellStart"/>
      <w:r>
        <w:t>CAA’s</w:t>
      </w:r>
      <w:proofErr w:type="spellEnd"/>
      <w:r>
        <w:t xml:space="preserve"> comprehensive framework for control and abatement of air </w:t>
      </w:r>
      <w:bookmarkStart w:id="61" w:name="_MD_Rev50"/>
      <w:bookmarkStart w:id="62" w:name="_MD_Rev163"/>
      <w:bookmarkEnd w:id="61"/>
      <w:r>
        <w:t>emissions</w:t>
      </w:r>
      <w:bookmarkEnd w:id="62"/>
      <w:r>
        <w:t xml:space="preserve">.  </w:t>
      </w:r>
      <w:r>
        <w:tab/>
      </w:r>
    </w:p>
    <w:p w:rsidR="00487786" w:rsidRDefault="009C73ED">
      <w:pPr>
        <w:rPr>
          <w:b/>
        </w:rPr>
      </w:pPr>
      <w:r>
        <w:rPr>
          <w:b/>
        </w:rPr>
        <w:tab/>
        <w:t>1.</w:t>
      </w:r>
      <w:r>
        <w:rPr>
          <w:b/>
        </w:rPr>
        <w:tab/>
        <w:t xml:space="preserve">The </w:t>
      </w:r>
      <w:proofErr w:type="spellStart"/>
      <w:r>
        <w:rPr>
          <w:b/>
        </w:rPr>
        <w:t>CAA</w:t>
      </w:r>
      <w:proofErr w:type="spellEnd"/>
      <w:r>
        <w:rPr>
          <w:b/>
        </w:rPr>
        <w:t xml:space="preserve"> Provides A Comprehensive Framework For Regulating Air </w:t>
      </w:r>
      <w:r>
        <w:rPr>
          <w:b/>
        </w:rPr>
        <w:tab/>
      </w:r>
      <w:r>
        <w:rPr>
          <w:b/>
        </w:rPr>
        <w:tab/>
      </w:r>
      <w:r>
        <w:rPr>
          <w:b/>
        </w:rPr>
        <w:tab/>
        <w:t>Emissions</w:t>
      </w:r>
    </w:p>
    <w:p w:rsidR="00487786" w:rsidRDefault="00487786"/>
    <w:p w:rsidR="00487786" w:rsidRDefault="009C73ED">
      <w:pPr>
        <w:spacing w:line="480" w:lineRule="auto"/>
      </w:pPr>
      <w:r>
        <w:tab/>
        <w:t xml:space="preserve">The </w:t>
      </w:r>
      <w:proofErr w:type="spellStart"/>
      <w:r>
        <w:t>CAA</w:t>
      </w:r>
      <w:proofErr w:type="spellEnd"/>
      <w:r>
        <w:t xml:space="preserve"> comprehensively and pervasively regulates </w:t>
      </w:r>
      <w:bookmarkStart w:id="63" w:name="_MD_Rev164"/>
      <w:r>
        <w:t xml:space="preserve">virtually all of </w:t>
      </w:r>
      <w:bookmarkEnd w:id="63"/>
      <w:r>
        <w:t xml:space="preserve">the nation’s air </w:t>
      </w:r>
      <w:bookmarkStart w:id="64" w:name="_MD_Rev51"/>
      <w:bookmarkEnd w:id="64"/>
      <w:r>
        <w:t xml:space="preserve">emissions </w:t>
      </w:r>
      <w:bookmarkStart w:id="65" w:name="_MD_Rev52"/>
      <w:bookmarkStart w:id="66" w:name="_MD_Rev165"/>
      <w:bookmarkEnd w:id="65"/>
      <w:r>
        <w:t>from all sources</w:t>
      </w:r>
      <w:bookmarkEnd w:id="66"/>
      <w:r>
        <w:t xml:space="preserve">.  </w:t>
      </w:r>
      <w:r>
        <w:rPr>
          <w:i/>
        </w:rPr>
        <w:t>See TVA</w:t>
      </w:r>
      <w:r>
        <w:t xml:space="preserve">, 615 </w:t>
      </w:r>
      <w:proofErr w:type="spellStart"/>
      <w:r>
        <w:t>F.3d</w:t>
      </w:r>
      <w:proofErr w:type="spellEnd"/>
      <w:r>
        <w:t xml:space="preserve"> at 298 (“To say this regulatory and permitting regime is comprehensive would be an understatement.”); </w:t>
      </w:r>
      <w:r>
        <w:rPr>
          <w:i/>
        </w:rPr>
        <w:t>Bell v. Cheswick Gen</w:t>
      </w:r>
      <w:r>
        <w:rPr>
          <w:i/>
        </w:rPr>
        <w:t>erating Station</w:t>
      </w:r>
      <w:r>
        <w:t xml:space="preserve">, 903 F. Supp. </w:t>
      </w:r>
      <w:proofErr w:type="spellStart"/>
      <w:r>
        <w:t>2d</w:t>
      </w:r>
      <w:proofErr w:type="spellEnd"/>
      <w:r>
        <w:t xml:space="preserve"> 314, 322 (</w:t>
      </w:r>
      <w:proofErr w:type="spellStart"/>
      <w:r>
        <w:t>W.D</w:t>
      </w:r>
      <w:proofErr w:type="spellEnd"/>
      <w:r>
        <w:t xml:space="preserve">. Pa. 2012), </w:t>
      </w:r>
      <w:r>
        <w:rPr>
          <w:i/>
        </w:rPr>
        <w:t>appeal docketed</w:t>
      </w:r>
      <w:r>
        <w:t>, No. 12-4216 (</w:t>
      </w:r>
      <w:proofErr w:type="spellStart"/>
      <w:r>
        <w:t>3d</w:t>
      </w:r>
      <w:proofErr w:type="spellEnd"/>
      <w:r>
        <w:t xml:space="preserve"> Cir. Nov. 16, 2012) (</w:t>
      </w:r>
      <w:proofErr w:type="spellStart"/>
      <w:r>
        <w:t>CAA</w:t>
      </w:r>
      <w:proofErr w:type="spellEnd"/>
      <w:r>
        <w:t xml:space="preserve"> “represents a comprehensive statutory and regulatory scheme”)</w:t>
      </w:r>
      <w:bookmarkStart w:id="67" w:name="_MD_Rev53"/>
      <w:bookmarkEnd w:id="67"/>
      <w:r>
        <w:t xml:space="preserve">. </w:t>
      </w:r>
      <w:bookmarkStart w:id="68" w:name="_MD_Rev167"/>
      <w:r>
        <w:t xml:space="preserve"> The </w:t>
      </w:r>
      <w:proofErr w:type="spellStart"/>
      <w:r>
        <w:t>CAA</w:t>
      </w:r>
      <w:proofErr w:type="spellEnd"/>
      <w:r>
        <w:t xml:space="preserve"> specifically addresses</w:t>
      </w:r>
      <w:bookmarkStart w:id="69" w:name="_MD_Rev54"/>
      <w:bookmarkEnd w:id="69"/>
      <w:r>
        <w:t xml:space="preserve"> the alleged economic and property effects fr</w:t>
      </w:r>
      <w:r>
        <w:t xml:space="preserve">om air emissions about which Plaintiffs complain, in addition to public health concerns.  </w:t>
      </w:r>
      <w:r>
        <w:rPr>
          <w:i/>
        </w:rPr>
        <w:t xml:space="preserve">See </w:t>
      </w:r>
      <w:proofErr w:type="spellStart"/>
      <w:r>
        <w:t>CAA</w:t>
      </w:r>
      <w:proofErr w:type="spellEnd"/>
      <w:r>
        <w:t xml:space="preserve"> § 302(h), 42 </w:t>
      </w:r>
      <w:proofErr w:type="spellStart"/>
      <w:r>
        <w:t>U.S.C</w:t>
      </w:r>
      <w:proofErr w:type="spellEnd"/>
      <w:r>
        <w:t>. § 7602(h) (defining “effects on welfare” to include “damage to and deterioration of property” and effects on “vegetation,” “manmade materi</w:t>
      </w:r>
      <w:r>
        <w:t xml:space="preserve">als,” “economic values,” and “personal comfort and well-being”).  </w:t>
      </w:r>
      <w:bookmarkEnd w:id="68"/>
    </w:p>
    <w:p w:rsidR="00487786" w:rsidRDefault="009C73ED">
      <w:pPr>
        <w:spacing w:line="480" w:lineRule="auto"/>
      </w:pPr>
      <w:r>
        <w:tab/>
        <w:t xml:space="preserve">The Act sets forth an intricate and detailed framework for joint federal and state regulation of air </w:t>
      </w:r>
      <w:bookmarkStart w:id="70" w:name="_MD_Rev55"/>
      <w:bookmarkStart w:id="71" w:name="_MD_Rev168"/>
      <w:bookmarkEnd w:id="70"/>
      <w:r>
        <w:t>emissions</w:t>
      </w:r>
      <w:bookmarkEnd w:id="71"/>
      <w:r>
        <w:t>.  EPA is tasked with developing National Ambient Air Quality Standards for ai</w:t>
      </w:r>
      <w:r>
        <w:t xml:space="preserve">r </w:t>
      </w:r>
      <w:bookmarkStart w:id="72" w:name="_MD_Rev56"/>
      <w:bookmarkStart w:id="73" w:name="_MD_Rev169"/>
      <w:bookmarkEnd w:id="72"/>
      <w:r>
        <w:t xml:space="preserve">emissions </w:t>
      </w:r>
      <w:bookmarkEnd w:id="73"/>
      <w:r>
        <w:t xml:space="preserve">that “cause or contribute to air pollution which may reasonably be anticipated to endanger public health or welfare.”  </w:t>
      </w:r>
      <w:proofErr w:type="spellStart"/>
      <w:r>
        <w:t>CAA</w:t>
      </w:r>
      <w:proofErr w:type="spellEnd"/>
      <w:r>
        <w:t xml:space="preserve"> §§ 108(a)(1)(A), 109, 42 </w:t>
      </w:r>
      <w:proofErr w:type="spellStart"/>
      <w:r>
        <w:t>U.S.C</w:t>
      </w:r>
      <w:proofErr w:type="spellEnd"/>
      <w:r>
        <w:t>. §§ 7408(a)(1)(A), 7409.  In turn, states are responsible for developing state implementat</w:t>
      </w:r>
      <w:r>
        <w:t>ion plans (“</w:t>
      </w:r>
      <w:proofErr w:type="spellStart"/>
      <w:r>
        <w:t>SIPs</w:t>
      </w:r>
      <w:proofErr w:type="spellEnd"/>
      <w:r>
        <w:t xml:space="preserve">”) to provide for the “implementation, maintenance, and enforcement” of these standards within each state, which must be submitted to and approved by EPA.  </w:t>
      </w:r>
      <w:r>
        <w:rPr>
          <w:i/>
        </w:rPr>
        <w:t>Id.</w:t>
      </w:r>
      <w:r>
        <w:t xml:space="preserve"> § 110(a)(1), 42 </w:t>
      </w:r>
      <w:proofErr w:type="spellStart"/>
      <w:r>
        <w:t>U.S.C</w:t>
      </w:r>
      <w:proofErr w:type="spellEnd"/>
      <w:r>
        <w:t xml:space="preserve">. § 7410(a)(1).  </w:t>
      </w:r>
      <w:bookmarkStart w:id="74" w:name="_MD_Rev170"/>
      <w:r>
        <w:t xml:space="preserve">Pursuant to the </w:t>
      </w:r>
      <w:proofErr w:type="spellStart"/>
      <w:r>
        <w:t>CAA</w:t>
      </w:r>
      <w:proofErr w:type="spellEnd"/>
      <w:r>
        <w:t xml:space="preserve">, </w:t>
      </w:r>
      <w:bookmarkEnd w:id="74"/>
      <w:proofErr w:type="spellStart"/>
      <w:r>
        <w:t>SIPs</w:t>
      </w:r>
      <w:proofErr w:type="spellEnd"/>
      <w:r>
        <w:t xml:space="preserve"> </w:t>
      </w:r>
      <w:bookmarkStart w:id="75" w:name="_MD_Rev57"/>
      <w:bookmarkStart w:id="76" w:name="_MD_Rev171"/>
      <w:bookmarkEnd w:id="75"/>
      <w:r>
        <w:lastRenderedPageBreak/>
        <w:t>contain</w:t>
      </w:r>
      <w:bookmarkEnd w:id="76"/>
      <w:r>
        <w:t xml:space="preserve"> permit p</w:t>
      </w:r>
      <w:r>
        <w:t>rogram</w:t>
      </w:r>
      <w:bookmarkStart w:id="77" w:name="_MD_Rev172"/>
      <w:r>
        <w:t>s</w:t>
      </w:r>
      <w:bookmarkEnd w:id="77"/>
      <w:r>
        <w:t xml:space="preserve"> limiting the amounts and types of emissions that each permit holder is allowed to discharge</w:t>
      </w:r>
      <w:bookmarkStart w:id="78" w:name="_MD_Rev173"/>
      <w:r>
        <w:t xml:space="preserve">. </w:t>
      </w:r>
      <w:bookmarkStart w:id="79" w:name="_MD_Rev58"/>
      <w:bookmarkEnd w:id="78"/>
      <w:bookmarkEnd w:id="79"/>
      <w:r>
        <w:t xml:space="preserve"> </w:t>
      </w:r>
      <w:bookmarkStart w:id="80" w:name="_MD_Rev59"/>
      <w:bookmarkStart w:id="81" w:name="_MD_Rev174"/>
      <w:bookmarkEnd w:id="80"/>
      <w:r>
        <w:rPr>
          <w:i/>
        </w:rPr>
        <w:t>Id</w:t>
      </w:r>
      <w:bookmarkEnd w:id="81"/>
      <w:r>
        <w:rPr>
          <w:i/>
        </w:rPr>
        <w:t>.</w:t>
      </w:r>
      <w:r>
        <w:t xml:space="preserve"> §§ 502(d)(1), 504(a), 42 </w:t>
      </w:r>
      <w:proofErr w:type="spellStart"/>
      <w:r>
        <w:t>U.S.C</w:t>
      </w:r>
      <w:proofErr w:type="spellEnd"/>
      <w:r>
        <w:t xml:space="preserve">. §§ </w:t>
      </w:r>
      <w:proofErr w:type="spellStart"/>
      <w:r>
        <w:t>7661a</w:t>
      </w:r>
      <w:proofErr w:type="spellEnd"/>
      <w:r>
        <w:t xml:space="preserve">(d)(1), </w:t>
      </w:r>
      <w:proofErr w:type="spellStart"/>
      <w:r>
        <w:t>7661c</w:t>
      </w:r>
      <w:proofErr w:type="spellEnd"/>
      <w:r>
        <w:t xml:space="preserve">(a).  </w:t>
      </w:r>
      <w:bookmarkStart w:id="82" w:name="_MD_Rev175"/>
      <w:proofErr w:type="spellStart"/>
      <w:r>
        <w:t>SIPs</w:t>
      </w:r>
      <w:proofErr w:type="spellEnd"/>
      <w:r>
        <w:t xml:space="preserve"> also arm states with the ability to resolve citizen complaints about air emissions eve</w:t>
      </w:r>
      <w:r>
        <w:t xml:space="preserve">n after a permit is issued.  </w:t>
      </w:r>
      <w:r>
        <w:rPr>
          <w:i/>
        </w:rPr>
        <w:t xml:space="preserve">See, e.g., </w:t>
      </w:r>
      <w:bookmarkStart w:id="83" w:name="_MD_Rev98"/>
      <w:r>
        <w:t xml:space="preserve">12-9 </w:t>
      </w:r>
      <w:bookmarkEnd w:id="83"/>
      <w:proofErr w:type="spellStart"/>
      <w:r>
        <w:t>V.I</w:t>
      </w:r>
      <w:proofErr w:type="spellEnd"/>
      <w:r>
        <w:t xml:space="preserve">. R. &amp; </w:t>
      </w:r>
      <w:proofErr w:type="spellStart"/>
      <w:r>
        <w:t>Regs</w:t>
      </w:r>
      <w:proofErr w:type="spellEnd"/>
      <w:r>
        <w:t xml:space="preserve">. § 204-27(a) (addressing “air pollution nuisances”).  </w:t>
      </w:r>
    </w:p>
    <w:p w:rsidR="00487786" w:rsidRDefault="009C73ED">
      <w:pPr>
        <w:spacing w:line="480" w:lineRule="auto"/>
      </w:pPr>
      <w:r>
        <w:tab/>
      </w:r>
      <w:bookmarkEnd w:id="82"/>
      <w:r>
        <w:t xml:space="preserve">Once approved by EPA, the provisions of these </w:t>
      </w:r>
      <w:proofErr w:type="spellStart"/>
      <w:r>
        <w:t>SIPs</w:t>
      </w:r>
      <w:proofErr w:type="spellEnd"/>
      <w:r>
        <w:t xml:space="preserve"> and any permits issued pursuant to them are federally enforceable by EPA and private citi</w:t>
      </w:r>
      <w:r>
        <w:t xml:space="preserve">zens, as well as the applicable state.  </w:t>
      </w:r>
      <w:proofErr w:type="spellStart"/>
      <w:r>
        <w:t>CAA</w:t>
      </w:r>
      <w:proofErr w:type="spellEnd"/>
      <w:r>
        <w:t xml:space="preserve"> §§ 113(b)(1), 304(a)(1), 42 </w:t>
      </w:r>
      <w:proofErr w:type="spellStart"/>
      <w:r>
        <w:t>U.S.C</w:t>
      </w:r>
      <w:proofErr w:type="spellEnd"/>
      <w:r>
        <w:t xml:space="preserve">. §§ 7413(b)(1), 7604(a)(1). </w:t>
      </w:r>
      <w:bookmarkStart w:id="84" w:name="_MD_Rev176"/>
      <w:r>
        <w:t xml:space="preserve"> </w:t>
      </w:r>
      <w:bookmarkEnd w:id="84"/>
    </w:p>
    <w:p w:rsidR="00487786" w:rsidRDefault="009C73ED">
      <w:pPr>
        <w:rPr>
          <w:b/>
        </w:rPr>
      </w:pPr>
      <w:r>
        <w:tab/>
      </w:r>
      <w:r>
        <w:rPr>
          <w:b/>
        </w:rPr>
        <w:t>2.</w:t>
      </w:r>
      <w:r>
        <w:rPr>
          <w:b/>
        </w:rPr>
        <w:tab/>
        <w:t xml:space="preserve">Plaintiffs’ Claims Conflict With—And Are Preempted By—The </w:t>
      </w:r>
      <w:r>
        <w:rPr>
          <w:b/>
        </w:rPr>
        <w:tab/>
      </w:r>
      <w:r>
        <w:rPr>
          <w:b/>
        </w:rPr>
        <w:tab/>
      </w:r>
      <w:r>
        <w:rPr>
          <w:b/>
        </w:rPr>
        <w:tab/>
      </w:r>
      <w:r>
        <w:rPr>
          <w:b/>
        </w:rPr>
        <w:tab/>
      </w:r>
      <w:proofErr w:type="spellStart"/>
      <w:r>
        <w:rPr>
          <w:b/>
        </w:rPr>
        <w:t>CAA’s</w:t>
      </w:r>
      <w:proofErr w:type="spellEnd"/>
      <w:r>
        <w:rPr>
          <w:b/>
        </w:rPr>
        <w:t xml:space="preserve"> Comprehensive Regulatory Scheme</w:t>
      </w:r>
    </w:p>
    <w:p w:rsidR="00487786" w:rsidRDefault="00487786">
      <w:pPr>
        <w:rPr>
          <w:b/>
        </w:rPr>
      </w:pPr>
    </w:p>
    <w:p w:rsidR="00487786" w:rsidRDefault="009C73ED">
      <w:pPr>
        <w:spacing w:line="480" w:lineRule="auto"/>
      </w:pPr>
      <w:r>
        <w:tab/>
      </w:r>
      <w:r>
        <w:t xml:space="preserve">Recognizing this pervasive, finely crafted regulatory scheme, courts repeatedly have confirmed the </w:t>
      </w:r>
      <w:proofErr w:type="spellStart"/>
      <w:r>
        <w:t>CAA’s</w:t>
      </w:r>
      <w:proofErr w:type="spellEnd"/>
      <w:r>
        <w:t xml:space="preserve"> preemptive effect over common law claims.  In </w:t>
      </w:r>
      <w:proofErr w:type="spellStart"/>
      <w:r>
        <w:rPr>
          <w:i/>
        </w:rPr>
        <w:t>AEP</w:t>
      </w:r>
      <w:proofErr w:type="spellEnd"/>
      <w:r>
        <w:t xml:space="preserve">, the U.S. Supreme Court held that nuisance claims under the federal common law “cannot be reconciled </w:t>
      </w:r>
      <w:r>
        <w:t xml:space="preserve">with the </w:t>
      </w:r>
      <w:proofErr w:type="spellStart"/>
      <w:r>
        <w:t>decisionmaking</w:t>
      </w:r>
      <w:proofErr w:type="spellEnd"/>
      <w:r>
        <w:t xml:space="preserve"> scheme Congress enacted” in the </w:t>
      </w:r>
      <w:proofErr w:type="spellStart"/>
      <w:r>
        <w:t>CAA</w:t>
      </w:r>
      <w:proofErr w:type="spellEnd"/>
      <w:r>
        <w:t>.  131 S. Ct. at 2540.  Because the Act already “provides a means to seek limits on emissions</w:t>
      </w:r>
      <w:bookmarkStart w:id="85" w:name="_MD_Rev61"/>
      <w:bookmarkEnd w:id="85"/>
      <w:r>
        <w:t xml:space="preserve">” </w:t>
      </w:r>
      <w:bookmarkStart w:id="86" w:name="_MD_Rev62"/>
      <w:bookmarkEnd w:id="86"/>
      <w:r>
        <w:t xml:space="preserve">that formed the basis of the plaintiffs’ nuisance claims, the Court held that there is “no room for a </w:t>
      </w:r>
      <w:r>
        <w:t>parallel track” to limit emissions through the federal common law.</w:t>
      </w:r>
      <w:r>
        <w:rPr>
          <w:rStyle w:val="FootnoteReference"/>
        </w:rPr>
        <w:footnoteReference w:id="9"/>
      </w:r>
      <w:r>
        <w:t xml:space="preserve">  </w:t>
      </w:r>
      <w:r>
        <w:rPr>
          <w:i/>
        </w:rPr>
        <w:t>Id.</w:t>
      </w:r>
      <w:r>
        <w:t xml:space="preserve"> at 2538.  </w:t>
      </w:r>
    </w:p>
    <w:p w:rsidR="00487786" w:rsidRDefault="009C73ED">
      <w:pPr>
        <w:spacing w:line="480" w:lineRule="auto"/>
      </w:pPr>
      <w:r>
        <w:tab/>
        <w:t xml:space="preserve">Numerous other federal and state courts have applied the Court’s reasoning in </w:t>
      </w:r>
      <w:proofErr w:type="spellStart"/>
      <w:r>
        <w:rPr>
          <w:i/>
        </w:rPr>
        <w:t>AEP</w:t>
      </w:r>
      <w:proofErr w:type="spellEnd"/>
      <w:r>
        <w:t xml:space="preserve"> to hold that the </w:t>
      </w:r>
      <w:proofErr w:type="spellStart"/>
      <w:r>
        <w:t>CAA</w:t>
      </w:r>
      <w:proofErr w:type="spellEnd"/>
      <w:r>
        <w:t xml:space="preserve"> also preempts state common law claims.  </w:t>
      </w:r>
      <w:r>
        <w:rPr>
          <w:i/>
        </w:rPr>
        <w:t>See, e.g.</w:t>
      </w:r>
      <w:r>
        <w:t xml:space="preserve">, </w:t>
      </w:r>
      <w:r>
        <w:rPr>
          <w:i/>
        </w:rPr>
        <w:t>Bell</w:t>
      </w:r>
      <w:r>
        <w:t>, 903 F. Supp</w:t>
      </w:r>
      <w:r>
        <w:t xml:space="preserve">. </w:t>
      </w:r>
      <w:proofErr w:type="spellStart"/>
      <w:r>
        <w:t>2d</w:t>
      </w:r>
      <w:proofErr w:type="spellEnd"/>
      <w:r>
        <w:t xml:space="preserve"> at 321-22.  Indeed, </w:t>
      </w:r>
      <w:r>
        <w:rPr>
          <w:i/>
        </w:rPr>
        <w:t>every court</w:t>
      </w:r>
      <w:r>
        <w:t xml:space="preserve"> that has recently considered the issue has </w:t>
      </w:r>
      <w:r>
        <w:lastRenderedPageBreak/>
        <w:t xml:space="preserve">found that the Act preempts common law claims alleging that </w:t>
      </w:r>
      <w:bookmarkStart w:id="87" w:name="_MD_Rev63"/>
      <w:bookmarkStart w:id="88" w:name="_MD_Rev177"/>
      <w:bookmarkEnd w:id="87"/>
      <w:r>
        <w:t xml:space="preserve">emissions </w:t>
      </w:r>
      <w:bookmarkEnd w:id="88"/>
      <w:r>
        <w:t xml:space="preserve">regulated under the </w:t>
      </w:r>
      <w:proofErr w:type="spellStart"/>
      <w:r>
        <w:t>CAA</w:t>
      </w:r>
      <w:proofErr w:type="spellEnd"/>
      <w:r>
        <w:t xml:space="preserve"> cause a nuisance.  </w:t>
      </w:r>
      <w:r>
        <w:rPr>
          <w:i/>
        </w:rPr>
        <w:t xml:space="preserve">See Native </w:t>
      </w:r>
      <w:proofErr w:type="spellStart"/>
      <w:r>
        <w:rPr>
          <w:i/>
        </w:rPr>
        <w:t>Vill</w:t>
      </w:r>
      <w:proofErr w:type="spellEnd"/>
      <w:r>
        <w:rPr>
          <w:i/>
        </w:rPr>
        <w:t xml:space="preserve">. of </w:t>
      </w:r>
      <w:proofErr w:type="spellStart"/>
      <w:r>
        <w:rPr>
          <w:i/>
        </w:rPr>
        <w:t>Kivalina</w:t>
      </w:r>
      <w:proofErr w:type="spellEnd"/>
      <w:r>
        <w:rPr>
          <w:i/>
        </w:rPr>
        <w:t xml:space="preserve"> v. ExxonMobil Corp.</w:t>
      </w:r>
      <w:r>
        <w:t xml:space="preserve">, 696 </w:t>
      </w:r>
      <w:proofErr w:type="spellStart"/>
      <w:r>
        <w:t>F.3d</w:t>
      </w:r>
      <w:proofErr w:type="spellEnd"/>
      <w:r>
        <w:t xml:space="preserve"> 849 </w:t>
      </w:r>
      <w:r>
        <w:t xml:space="preserve">(9th Cir. 2012) (federal common law nuisance claim for damages); </w:t>
      </w:r>
      <w:r>
        <w:rPr>
          <w:i/>
        </w:rPr>
        <w:t>TVA</w:t>
      </w:r>
      <w:r>
        <w:t xml:space="preserve">, 615 </w:t>
      </w:r>
      <w:proofErr w:type="spellStart"/>
      <w:r>
        <w:t>F.3d</w:t>
      </w:r>
      <w:proofErr w:type="spellEnd"/>
      <w:r>
        <w:t xml:space="preserve"> at 301-06 (state common law nuisance claim); </w:t>
      </w:r>
      <w:r>
        <w:rPr>
          <w:i/>
        </w:rPr>
        <w:t>Bell</w:t>
      </w:r>
      <w:r>
        <w:t xml:space="preserve">, 903 F. Supp. </w:t>
      </w:r>
      <w:proofErr w:type="spellStart"/>
      <w:r>
        <w:t>2d</w:t>
      </w:r>
      <w:proofErr w:type="spellEnd"/>
      <w:r>
        <w:t xml:space="preserve"> at 322-23 (state common law claims for nuisance, negligence, trespass, and strict liability); </w:t>
      </w:r>
      <w:r>
        <w:rPr>
          <w:i/>
        </w:rPr>
        <w:t xml:space="preserve">Comer v. Murphy </w:t>
      </w:r>
      <w:r>
        <w:rPr>
          <w:i/>
        </w:rPr>
        <w:t>Oil USA, Inc.</w:t>
      </w:r>
      <w:r>
        <w:t xml:space="preserve">, 839 F. Supp. </w:t>
      </w:r>
      <w:proofErr w:type="spellStart"/>
      <w:r>
        <w:t>2d</w:t>
      </w:r>
      <w:proofErr w:type="spellEnd"/>
      <w:r>
        <w:t xml:space="preserve"> 849, 865 (S.D. Miss. 2012) (state common law nuisance, trespass, and negligence claims), </w:t>
      </w:r>
      <w:proofErr w:type="spellStart"/>
      <w:r>
        <w:rPr>
          <w:i/>
        </w:rPr>
        <w:t>aff’d</w:t>
      </w:r>
      <w:proofErr w:type="spellEnd"/>
      <w:r>
        <w:t xml:space="preserve">, 718 </w:t>
      </w:r>
      <w:proofErr w:type="spellStart"/>
      <w:r>
        <w:t>F.3d</w:t>
      </w:r>
      <w:proofErr w:type="spellEnd"/>
      <w:r>
        <w:t xml:space="preserve"> 460 (5th Cir. 2013); </w:t>
      </w:r>
      <w:r>
        <w:rPr>
          <w:i/>
        </w:rPr>
        <w:t xml:space="preserve">United States v. </w:t>
      </w:r>
      <w:proofErr w:type="spellStart"/>
      <w:r>
        <w:rPr>
          <w:i/>
        </w:rPr>
        <w:t>EME</w:t>
      </w:r>
      <w:proofErr w:type="spellEnd"/>
      <w:r>
        <w:rPr>
          <w:i/>
        </w:rPr>
        <w:t xml:space="preserve"> Homer City Generation, L.P.</w:t>
      </w:r>
      <w:r>
        <w:t xml:space="preserve">, 823 F. Supp. </w:t>
      </w:r>
      <w:proofErr w:type="spellStart"/>
      <w:r>
        <w:t>2d</w:t>
      </w:r>
      <w:proofErr w:type="spellEnd"/>
      <w:r>
        <w:t xml:space="preserve"> 274, 296-97 (</w:t>
      </w:r>
      <w:proofErr w:type="spellStart"/>
      <w:r>
        <w:t>W.D</w:t>
      </w:r>
      <w:proofErr w:type="spellEnd"/>
      <w:r>
        <w:t>. Pa. 2011) (stat</w:t>
      </w:r>
      <w:r>
        <w:t xml:space="preserve">e common law nuisance claim); </w:t>
      </w:r>
      <w:r>
        <w:rPr>
          <w:i/>
        </w:rPr>
        <w:t>Freeman v. Grain Processing Corp.</w:t>
      </w:r>
      <w:r>
        <w:t xml:space="preserve">, No. </w:t>
      </w:r>
      <w:proofErr w:type="spellStart"/>
      <w:r>
        <w:t>LACV</w:t>
      </w:r>
      <w:proofErr w:type="spellEnd"/>
      <w:r>
        <w:t xml:space="preserve"> 021232, (Muscatine </w:t>
      </w:r>
      <w:proofErr w:type="spellStart"/>
      <w:r>
        <w:t>Cnty</w:t>
      </w:r>
      <w:proofErr w:type="spellEnd"/>
      <w:r>
        <w:t xml:space="preserve">. (Iowa) Dist. Ct. Mar. 27, 2013) (order granting Defendant’s motion for summary judgment) (state common law nuisance claim) (Exhibit 13).  </w:t>
      </w:r>
    </w:p>
    <w:p w:rsidR="00487786" w:rsidRDefault="009C73ED">
      <w:pPr>
        <w:spacing w:line="480" w:lineRule="auto"/>
      </w:pPr>
      <w:r>
        <w:tab/>
        <w:t>Plaintiffs’ commo</w:t>
      </w:r>
      <w:r>
        <w:t xml:space="preserve">n law claims here are likewise preempted.  The </w:t>
      </w:r>
      <w:proofErr w:type="spellStart"/>
      <w:r>
        <w:t>CAA</w:t>
      </w:r>
      <w:proofErr w:type="spellEnd"/>
      <w:r>
        <w:t xml:space="preserve"> specifically addresses </w:t>
      </w:r>
      <w:bookmarkStart w:id="89" w:name="_MD_Rev64"/>
      <w:bookmarkStart w:id="90" w:name="_MD_Rev178"/>
      <w:bookmarkEnd w:id="89"/>
      <w:proofErr w:type="spellStart"/>
      <w:r>
        <w:t>VOCs</w:t>
      </w:r>
      <w:proofErr w:type="spellEnd"/>
      <w:r>
        <w:t>, including</w:t>
      </w:r>
      <w:bookmarkEnd w:id="90"/>
      <w:r>
        <w:t xml:space="preserve"> ethanol emissions</w:t>
      </w:r>
      <w:bookmarkStart w:id="91" w:name="_MD_Rev179"/>
      <w:bookmarkStart w:id="92" w:name="_MD_Rev65"/>
      <w:r>
        <w:t xml:space="preserve">.  </w:t>
      </w:r>
      <w:r>
        <w:rPr>
          <w:i/>
        </w:rPr>
        <w:t xml:space="preserve">See, e.g., </w:t>
      </w:r>
      <w:r>
        <w:t xml:space="preserve">40 </w:t>
      </w:r>
      <w:proofErr w:type="spellStart"/>
      <w:r>
        <w:t>C.F.R</w:t>
      </w:r>
      <w:proofErr w:type="spellEnd"/>
      <w:r>
        <w:t xml:space="preserve">. §51.100(s); 12-9 </w:t>
      </w:r>
      <w:proofErr w:type="spellStart"/>
      <w:r>
        <w:t>V.I</w:t>
      </w:r>
      <w:proofErr w:type="spellEnd"/>
      <w:r>
        <w:t xml:space="preserve">. R. &amp; </w:t>
      </w:r>
      <w:proofErr w:type="spellStart"/>
      <w:r>
        <w:t>Regs</w:t>
      </w:r>
      <w:proofErr w:type="spellEnd"/>
      <w:r>
        <w:t>. §204-20(</w:t>
      </w:r>
      <w:proofErr w:type="spellStart"/>
      <w:r>
        <w:t>ddd</w:t>
      </w:r>
      <w:proofErr w:type="spellEnd"/>
      <w:r>
        <w:t xml:space="preserve">).  Exercising their authority under the </w:t>
      </w:r>
      <w:proofErr w:type="spellStart"/>
      <w:r>
        <w:t>CAA</w:t>
      </w:r>
      <w:proofErr w:type="spellEnd"/>
      <w:r>
        <w:t xml:space="preserve"> and </w:t>
      </w:r>
      <w:proofErr w:type="spellStart"/>
      <w:r>
        <w:t>USVI’s</w:t>
      </w:r>
      <w:proofErr w:type="spellEnd"/>
      <w:r>
        <w:t xml:space="preserve"> SIP, EPA and </w:t>
      </w:r>
      <w:proofErr w:type="spellStart"/>
      <w:r>
        <w:t>DPNR</w:t>
      </w:r>
      <w:proofErr w:type="spellEnd"/>
      <w:r>
        <w:t xml:space="preserve"> did not</w:t>
      </w:r>
      <w:r>
        <w:t xml:space="preserve"> require the use of any control technology with respect to ethanol emissions from Defendants’ aging warehouses as part of the permitting process.  </w:t>
      </w:r>
      <w:bookmarkEnd w:id="91"/>
    </w:p>
    <w:bookmarkEnd w:id="92"/>
    <w:p w:rsidR="00487786" w:rsidRDefault="009C73ED">
      <w:pPr>
        <w:spacing w:line="480" w:lineRule="auto"/>
        <w:ind w:firstLine="720"/>
      </w:pPr>
      <w:r>
        <w:t>Moreover, if there is a nuisance of the type that Plaintiffs allege, then the nuisance provision in the USVI</w:t>
      </w:r>
      <w:r>
        <w:t xml:space="preserve">’s SIP specifically empowers </w:t>
      </w:r>
      <w:proofErr w:type="spellStart"/>
      <w:r>
        <w:t>DPNR</w:t>
      </w:r>
      <w:proofErr w:type="spellEnd"/>
      <w:r>
        <w:t xml:space="preserve"> to address it.  </w:t>
      </w:r>
      <w:r>
        <w:rPr>
          <w:i/>
        </w:rPr>
        <w:t xml:space="preserve">See </w:t>
      </w:r>
      <w:r>
        <w:t xml:space="preserve">12-9 </w:t>
      </w:r>
      <w:proofErr w:type="spellStart"/>
      <w:r>
        <w:t>V.I</w:t>
      </w:r>
      <w:proofErr w:type="spellEnd"/>
      <w:r>
        <w:t xml:space="preserve">. R. &amp; </w:t>
      </w:r>
      <w:proofErr w:type="spellStart"/>
      <w:r>
        <w:t>Regs</w:t>
      </w:r>
      <w:proofErr w:type="spellEnd"/>
      <w:r>
        <w:t>. § 204-27(a) (prohibiting emissions that “cause injury, detriment, nuisance, [or] annoyance” or that “cause injury or damage to business or property”)</w:t>
      </w:r>
      <w:bookmarkStart w:id="93" w:name="_MD_Rev180"/>
      <w:r>
        <w:t xml:space="preserve">; 12 </w:t>
      </w:r>
      <w:proofErr w:type="spellStart"/>
      <w:r>
        <w:t>V.I.C</w:t>
      </w:r>
      <w:proofErr w:type="spellEnd"/>
      <w:r>
        <w:t xml:space="preserve">. § 215 (authorizing </w:t>
      </w:r>
      <w:proofErr w:type="spellStart"/>
      <w:r>
        <w:t>D</w:t>
      </w:r>
      <w:r>
        <w:t>PNR</w:t>
      </w:r>
      <w:proofErr w:type="spellEnd"/>
      <w:r>
        <w:t xml:space="preserve"> </w:t>
      </w:r>
      <w:bookmarkStart w:id="94" w:name="_MD_Rev66"/>
      <w:bookmarkEnd w:id="93"/>
      <w:bookmarkEnd w:id="94"/>
      <w:r>
        <w:t xml:space="preserve">to </w:t>
      </w:r>
      <w:bookmarkStart w:id="95" w:name="_MD_Rev67"/>
      <w:bookmarkEnd w:id="95"/>
      <w:r>
        <w:t xml:space="preserve">seek administrative and civil penalties and </w:t>
      </w:r>
      <w:bookmarkStart w:id="96" w:name="_MD_Rev68"/>
      <w:bookmarkEnd w:id="96"/>
      <w:r>
        <w:t xml:space="preserve">injunctive </w:t>
      </w:r>
      <w:r>
        <w:lastRenderedPageBreak/>
        <w:t>relief</w:t>
      </w:r>
      <w:bookmarkStart w:id="97" w:name="_MD_Rev181"/>
      <w:r>
        <w:t>)</w:t>
      </w:r>
      <w:bookmarkEnd w:id="97"/>
      <w:r>
        <w:t>.</w:t>
      </w:r>
      <w:bookmarkStart w:id="98" w:name="_MD_Rev69"/>
      <w:bookmarkEnd w:id="98"/>
      <w:r>
        <w:t xml:space="preserve">  </w:t>
      </w:r>
      <w:bookmarkStart w:id="99" w:name="_MD_Rev182"/>
      <w:r>
        <w:t xml:space="preserve">Indeed, </w:t>
      </w:r>
      <w:proofErr w:type="spellStart"/>
      <w:r>
        <w:t>DPNR</w:t>
      </w:r>
      <w:proofErr w:type="spellEnd"/>
      <w:r>
        <w:t xml:space="preserve"> recently has engaged Defendants regarding their ethanol emissions, and the parties are in discussions.  </w:t>
      </w:r>
      <w:r>
        <w:rPr>
          <w:i/>
        </w:rPr>
        <w:t>See supra</w:t>
      </w:r>
      <w:r>
        <w:t xml:space="preserve"> at 7 and footnote 12</w:t>
      </w:r>
      <w:r>
        <w:rPr>
          <w:highlight w:val="yellow"/>
        </w:rPr>
        <w:t xml:space="preserve"> </w:t>
      </w:r>
      <w:r>
        <w:t xml:space="preserve">(discussing letters from </w:t>
      </w:r>
      <w:proofErr w:type="spellStart"/>
      <w:r>
        <w:t>DPNR</w:t>
      </w:r>
      <w:proofErr w:type="spellEnd"/>
      <w:r>
        <w:t>).</w:t>
      </w:r>
      <w:r>
        <w:rPr>
          <w:rStyle w:val="FootnoteReference"/>
        </w:rPr>
        <w:footnoteReference w:id="10"/>
      </w:r>
      <w:r>
        <w:t xml:space="preserve">  </w:t>
      </w:r>
      <w:bookmarkStart w:id="103" w:name="_MD_Rev70"/>
      <w:bookmarkEnd w:id="99"/>
      <w:bookmarkEnd w:id="103"/>
    </w:p>
    <w:p w:rsidR="00487786" w:rsidRDefault="009C73ED">
      <w:pPr>
        <w:spacing w:line="480" w:lineRule="auto"/>
        <w:ind w:firstLine="720"/>
      </w:pPr>
      <w:r>
        <w:t>A</w:t>
      </w:r>
      <w:r>
        <w:t xml:space="preserve">pparently unsatisfied with the permits issued to Defendants—and discontent to let the expert agencies address Defendants’ emissions through the tools in the </w:t>
      </w:r>
      <w:proofErr w:type="spellStart"/>
      <w:r>
        <w:t>CAA</w:t>
      </w:r>
      <w:proofErr w:type="spellEnd"/>
      <w:r>
        <w:t xml:space="preserve"> and </w:t>
      </w:r>
      <w:proofErr w:type="spellStart"/>
      <w:r>
        <w:t>USVI’s</w:t>
      </w:r>
      <w:proofErr w:type="spellEnd"/>
      <w:r>
        <w:t xml:space="preserve"> SIP—Plaintiffs are asking this Court to bypass the carefully crafted regulatory prog</w:t>
      </w:r>
      <w:r>
        <w:t>ram and create an incompatible regime of regulation by common law.  But, as other courts have done, this Court should recognize the “considerable potential mischief" in common law nuisance actions that place generalist courts in the role of primary regulat</w:t>
      </w:r>
      <w:r>
        <w:t>or and apply “the strongest cautionary presumption against them.”</w:t>
      </w:r>
      <w:bookmarkStart w:id="104" w:name="_MD_Rev71"/>
      <w:bookmarkEnd w:id="104"/>
      <w:r>
        <w:t xml:space="preserve">  </w:t>
      </w:r>
      <w:r>
        <w:rPr>
          <w:i/>
        </w:rPr>
        <w:t>TVA</w:t>
      </w:r>
      <w:r>
        <w:t xml:space="preserve">, 615 </w:t>
      </w:r>
      <w:proofErr w:type="spellStart"/>
      <w:r>
        <w:t>F.3d</w:t>
      </w:r>
      <w:proofErr w:type="spellEnd"/>
      <w:r>
        <w:t xml:space="preserve"> at 303.  </w:t>
      </w:r>
      <w:bookmarkStart w:id="105" w:name="_MD_Rev72"/>
      <w:bookmarkEnd w:id="105"/>
      <w:r>
        <w:t xml:space="preserve">Allowing Plaintiffs to pursue their common law claims would upset the delicate equilibrium of state and federal authority and improperly insert this Court into the role of the expert executive agencies.  </w:t>
      </w:r>
    </w:p>
    <w:p w:rsidR="00487786" w:rsidRDefault="009C73ED">
      <w:pPr>
        <w:spacing w:line="480" w:lineRule="auto"/>
        <w:ind w:firstLine="720"/>
      </w:pPr>
      <w:r>
        <w:t>Although their claims are framed as a simple tort a</w:t>
      </w:r>
      <w:r>
        <w:t xml:space="preserve">ction, Plaintiffs are effectively asking the Court to impose additional limits on Defendants’ ethanol emissions beyond those deemed appropriate by EPA and </w:t>
      </w:r>
      <w:proofErr w:type="spellStart"/>
      <w:r>
        <w:t>DPNR</w:t>
      </w:r>
      <w:proofErr w:type="spellEnd"/>
      <w:r>
        <w:t xml:space="preserve">.  In </w:t>
      </w:r>
      <w:proofErr w:type="spellStart"/>
      <w:r>
        <w:rPr>
          <w:i/>
        </w:rPr>
        <w:t>AEP</w:t>
      </w:r>
      <w:proofErr w:type="spellEnd"/>
      <w:r>
        <w:t xml:space="preserve">, the U.S. Supreme Court recognized Congress’ “prescribed order of </w:t>
      </w:r>
      <w:proofErr w:type="spellStart"/>
      <w:r>
        <w:t>decisionmaking</w:t>
      </w:r>
      <w:proofErr w:type="spellEnd"/>
      <w:r>
        <w:t>”—in wh</w:t>
      </w:r>
      <w:r>
        <w:t xml:space="preserve">ich “the first decider under the Act is the expert administrative agency” and courts participate only through “review [of] agency action”—provides a compelling reason to “resist setting emission </w:t>
      </w:r>
      <w:r>
        <w:lastRenderedPageBreak/>
        <w:t>standards by judicial decree” via tort law.  131 S. Ct. at 25</w:t>
      </w:r>
      <w:r>
        <w:t>39.  The “complex balancing” inherent in the regulation of emissions is “entrust[</w:t>
      </w:r>
      <w:proofErr w:type="spellStart"/>
      <w:r>
        <w:t>ed</w:t>
      </w:r>
      <w:proofErr w:type="spellEnd"/>
      <w:r>
        <w:t xml:space="preserve">] . . . to EPA in the first instance, in combination with state regulators.”  </w:t>
      </w:r>
      <w:r>
        <w:rPr>
          <w:i/>
        </w:rPr>
        <w:t>Id.</w:t>
      </w:r>
      <w:r>
        <w:t xml:space="preserve">  </w:t>
      </w:r>
    </w:p>
    <w:p w:rsidR="00487786" w:rsidRDefault="009C73ED">
      <w:pPr>
        <w:spacing w:line="480" w:lineRule="auto"/>
      </w:pPr>
      <w:r>
        <w:tab/>
        <w:t>Congress’ decision to allocate primary regulatory responsibility to specialized executiv</w:t>
      </w:r>
      <w:r>
        <w:t xml:space="preserve">e agencies rather than to the courts reflects the relative expertise and institutional capabilities of these two branches of government.  </w:t>
      </w:r>
      <w:r>
        <w:rPr>
          <w:i/>
        </w:rPr>
        <w:t>See TVA</w:t>
      </w:r>
      <w:r>
        <w:t xml:space="preserve">, 615 </w:t>
      </w:r>
      <w:proofErr w:type="spellStart"/>
      <w:r>
        <w:t>F.3d</w:t>
      </w:r>
      <w:proofErr w:type="spellEnd"/>
      <w:r>
        <w:t xml:space="preserve"> at 305 (“[W]e doubt seriously that Congress thought that a judge holding a twelve-day bench trial co</w:t>
      </w:r>
      <w:r>
        <w:t xml:space="preserve">uld evaluate more than a mere fraction of the information that regulatory bodies can consider.”).  The appropriate amount of regulation for any particular </w:t>
      </w:r>
      <w:bookmarkStart w:id="106" w:name="_MD_Rev74"/>
      <w:bookmarkStart w:id="107" w:name="_MD_Rev183"/>
      <w:bookmarkEnd w:id="106"/>
      <w:r>
        <w:t>air emission source</w:t>
      </w:r>
      <w:bookmarkEnd w:id="107"/>
      <w:r>
        <w:t xml:space="preserve"> “cannot be prescribed in a vacuum: . . . informed assessment of competing interes</w:t>
      </w:r>
      <w:r>
        <w:t xml:space="preserve">ts is required.”  </w:t>
      </w:r>
      <w:proofErr w:type="spellStart"/>
      <w:r>
        <w:rPr>
          <w:i/>
        </w:rPr>
        <w:t>AEP</w:t>
      </w:r>
      <w:proofErr w:type="spellEnd"/>
      <w:r>
        <w:t>, 131 S. Ct. at 2539.  Recognizing the need for “a very high degree of specialized knowledge in chemistry, medicine, meteorology, biology, engineering, and other relevant fields that agencies rather than courts were likely to possess,”</w:t>
      </w:r>
      <w:r>
        <w:t xml:space="preserve"> Congress “opted rather emphatically for the benefits of agency expertise” to develop emission standards and controls in place of judicially managed common law doctrines.  </w:t>
      </w:r>
      <w:r>
        <w:rPr>
          <w:i/>
        </w:rPr>
        <w:t>TVA</w:t>
      </w:r>
      <w:r>
        <w:t xml:space="preserve">, 615 </w:t>
      </w:r>
      <w:proofErr w:type="spellStart"/>
      <w:r>
        <w:t>F.3d</w:t>
      </w:r>
      <w:proofErr w:type="spellEnd"/>
      <w:r>
        <w:t xml:space="preserve"> at 304-05.  </w:t>
      </w:r>
    </w:p>
    <w:p w:rsidR="00487786" w:rsidRDefault="009C73ED">
      <w:pPr>
        <w:spacing w:line="480" w:lineRule="auto"/>
      </w:pPr>
      <w:r>
        <w:tab/>
      </w:r>
      <w:bookmarkStart w:id="108" w:name="_MD_Rev75"/>
      <w:bookmarkEnd w:id="108"/>
      <w:r>
        <w:t xml:space="preserve">Unlike courts, executive agencies </w:t>
      </w:r>
      <w:bookmarkStart w:id="109" w:name="_MD_Rev184"/>
      <w:r>
        <w:t xml:space="preserve">such as </w:t>
      </w:r>
      <w:proofErr w:type="spellStart"/>
      <w:r>
        <w:t>DPNR</w:t>
      </w:r>
      <w:proofErr w:type="spellEnd"/>
      <w:r>
        <w:t xml:space="preserve"> </w:t>
      </w:r>
      <w:bookmarkStart w:id="110" w:name="_MD_Rev76"/>
      <w:bookmarkEnd w:id="110"/>
      <w:r>
        <w:t xml:space="preserve">have the </w:t>
      </w:r>
      <w:r>
        <w:t>advantage of rulemaking</w:t>
      </w:r>
      <w:bookmarkEnd w:id="109"/>
      <w:r>
        <w:t xml:space="preserve">.  </w:t>
      </w:r>
      <w:r>
        <w:rPr>
          <w:i/>
        </w:rPr>
        <w:t>See, e.g.</w:t>
      </w:r>
      <w:r>
        <w:t xml:space="preserve">, 5 </w:t>
      </w:r>
      <w:proofErr w:type="spellStart"/>
      <w:r>
        <w:t>U.S.C</w:t>
      </w:r>
      <w:proofErr w:type="spellEnd"/>
      <w:r>
        <w:t xml:space="preserve">. § 553 (governing federal agency rulemaking); </w:t>
      </w:r>
      <w:proofErr w:type="spellStart"/>
      <w:r>
        <w:t>V.I</w:t>
      </w:r>
      <w:proofErr w:type="spellEnd"/>
      <w:r>
        <w:t xml:space="preserve">. R. &amp; </w:t>
      </w:r>
      <w:proofErr w:type="spellStart"/>
      <w:r>
        <w:t>Regs</w:t>
      </w:r>
      <w:proofErr w:type="spellEnd"/>
      <w:r>
        <w:t xml:space="preserve">. Ann. tit. 12 </w:t>
      </w:r>
      <w:proofErr w:type="spellStart"/>
      <w:r>
        <w:t>V.I.C</w:t>
      </w:r>
      <w:proofErr w:type="spellEnd"/>
      <w:r>
        <w:t xml:space="preserve">. § 204(f) (authorizing </w:t>
      </w:r>
      <w:proofErr w:type="spellStart"/>
      <w:r>
        <w:t>DPNR</w:t>
      </w:r>
      <w:proofErr w:type="spellEnd"/>
      <w:r>
        <w:t xml:space="preserve"> to promulgate rules and regulations “after public comment or hearing on due notice”).  The rulemaking </w:t>
      </w:r>
      <w:r>
        <w:t xml:space="preserve">process helps inform agency decisions by providing opportunities for input from “the varied and practical perspectives of industry and environmental groups” and has the added benefits of </w:t>
      </w:r>
      <w:r>
        <w:lastRenderedPageBreak/>
        <w:t>“providing proactive instead of reactive control . . .  allowing flex</w:t>
      </w:r>
      <w:r>
        <w:t xml:space="preserve">ibility in developing rules, and lowering the likelihood of disturbing reliance interests.”  </w:t>
      </w:r>
      <w:r>
        <w:rPr>
          <w:i/>
        </w:rPr>
        <w:t>TVA</w:t>
      </w:r>
      <w:r>
        <w:t xml:space="preserve">, 615 </w:t>
      </w:r>
      <w:proofErr w:type="spellStart"/>
      <w:r>
        <w:t>F.3d</w:t>
      </w:r>
      <w:proofErr w:type="spellEnd"/>
      <w:r>
        <w:t xml:space="preserve"> at 305.  </w:t>
      </w:r>
      <w:bookmarkStart w:id="111" w:name="_MD_Rev77"/>
      <w:bookmarkEnd w:id="111"/>
      <w:r>
        <w:t xml:space="preserve">Likewise, </w:t>
      </w:r>
      <w:bookmarkStart w:id="112" w:name="_MD_Rev185"/>
      <w:r>
        <w:t>in the permitting process, the agencies are able to explore the scientific issues underlying air emissions, and to collaborate wit</w:t>
      </w:r>
      <w:r>
        <w:t>h both industry and the public in making a regulatory decision that balances the respective interests</w:t>
      </w:r>
      <w:bookmarkStart w:id="113" w:name="_MD_Rev78"/>
      <w:bookmarkEnd w:id="112"/>
      <w:bookmarkEnd w:id="113"/>
      <w:r>
        <w:t xml:space="preserve">.  </w:t>
      </w:r>
      <w:r>
        <w:rPr>
          <w:i/>
        </w:rPr>
        <w:t>E.g.</w:t>
      </w:r>
      <w:r>
        <w:t xml:space="preserve">, </w:t>
      </w:r>
      <w:proofErr w:type="spellStart"/>
      <w:r>
        <w:t>CAA</w:t>
      </w:r>
      <w:proofErr w:type="spellEnd"/>
      <w:r>
        <w:t xml:space="preserve"> § 502(b)(6), 42 </w:t>
      </w:r>
      <w:proofErr w:type="spellStart"/>
      <w:r>
        <w:t>U.S.C</w:t>
      </w:r>
      <w:proofErr w:type="spellEnd"/>
      <w:r>
        <w:t xml:space="preserve">. § </w:t>
      </w:r>
      <w:proofErr w:type="spellStart"/>
      <w:r>
        <w:t>7661a</w:t>
      </w:r>
      <w:proofErr w:type="spellEnd"/>
      <w:r>
        <w:t xml:space="preserve">(b)(6).  </w:t>
      </w:r>
      <w:bookmarkStart w:id="114" w:name="_MD_Rev79"/>
      <w:bookmarkEnd w:id="114"/>
      <w:r>
        <w:tab/>
      </w:r>
    </w:p>
    <w:p w:rsidR="00487786" w:rsidRDefault="009C73ED">
      <w:pPr>
        <w:spacing w:line="480" w:lineRule="auto"/>
      </w:pPr>
      <w:r>
        <w:tab/>
        <w:t>In contrast, courts are ill-suited for developing emission limits and controls.  As the Supreme Cour</w:t>
      </w:r>
      <w:r>
        <w:t xml:space="preserve">t observed in </w:t>
      </w:r>
      <w:proofErr w:type="spellStart"/>
      <w:r>
        <w:rPr>
          <w:i/>
        </w:rPr>
        <w:t>AEP</w:t>
      </w:r>
      <w:proofErr w:type="spellEnd"/>
      <w:r>
        <w:t xml:space="preserve">: </w:t>
      </w:r>
    </w:p>
    <w:p w:rsidR="00487786" w:rsidRDefault="009C73ED">
      <w:pPr>
        <w:ind w:left="720" w:right="720"/>
      </w:pPr>
      <w:r>
        <w:t>The expert agency is surely better equipped to do the job than individual district judges issuing ad hoc, case-by-case injunctions.  Federal judges lack the scientific, economic, and technological resources an agency can utilize in copi</w:t>
      </w:r>
      <w:r>
        <w:t>ng with issues of this order.  Judges may not commission scientific studies or convene groups of experts for advice, or issue rules under notice-and-comment procedures inviting input by any interested person, or seek the counsel of regulators in the States</w:t>
      </w:r>
      <w:r>
        <w:t xml:space="preserve"> where the defendants are located.  Rather, judges are confined by a record comprising the evidence the parties present.  Moreover, federal district judges, sitting as sole adjudicators, lack authority to render precedential decisions binding other judges,</w:t>
      </w:r>
      <w:r>
        <w:t xml:space="preserve"> even members of the same court.</w:t>
      </w:r>
    </w:p>
    <w:p w:rsidR="00487786" w:rsidRDefault="00487786">
      <w:pPr>
        <w:ind w:left="720"/>
      </w:pPr>
    </w:p>
    <w:p w:rsidR="00487786" w:rsidRDefault="009C73ED">
      <w:pPr>
        <w:spacing w:line="480" w:lineRule="auto"/>
      </w:pPr>
      <w:r>
        <w:t xml:space="preserve">131 S. Ct. at 2539-40.  The Court thus left little doubt as to which branch of government is best suited to determine appropriate limits on emissions.  </w:t>
      </w:r>
    </w:p>
    <w:p w:rsidR="00487786" w:rsidRDefault="009C73ED">
      <w:pPr>
        <w:spacing w:line="480" w:lineRule="auto"/>
        <w:ind w:firstLine="720"/>
      </w:pPr>
      <w:r>
        <w:t>Despite these constraints, Plaintiffs propose that this Court determi</w:t>
      </w:r>
      <w:r>
        <w:t>ne</w:t>
      </w:r>
      <w:bookmarkStart w:id="115" w:name="_MD_Rev186"/>
      <w:r>
        <w:t xml:space="preserve">—without reference to the </w:t>
      </w:r>
      <w:proofErr w:type="spellStart"/>
      <w:r>
        <w:t>CAA</w:t>
      </w:r>
      <w:proofErr w:type="spellEnd"/>
      <w:r>
        <w:t xml:space="preserve"> or the views of the EPA and the </w:t>
      </w:r>
      <w:proofErr w:type="spellStart"/>
      <w:r>
        <w:t>DPNR</w:t>
      </w:r>
      <w:proofErr w:type="spellEnd"/>
      <w:r>
        <w:t>—what level of ethanol emissions from Defendants’ permitted operations is appropriate</w:t>
      </w:r>
      <w:bookmarkStart w:id="116" w:name="_MD_Rev82"/>
      <w:bookmarkEnd w:id="115"/>
      <w:bookmarkEnd w:id="116"/>
      <w:r>
        <w:t>.  Deciding Plaintiffs’ common law tort claims would require this Court to usurp the regulatory functio</w:t>
      </w:r>
      <w:r>
        <w:t xml:space="preserve">n that the </w:t>
      </w:r>
      <w:proofErr w:type="spellStart"/>
      <w:r>
        <w:t>CAA</w:t>
      </w:r>
      <w:proofErr w:type="spellEnd"/>
      <w:r>
        <w:t xml:space="preserve"> assigns to EPA and state and territorial regulators.  In </w:t>
      </w:r>
      <w:proofErr w:type="spellStart"/>
      <w:r>
        <w:rPr>
          <w:i/>
        </w:rPr>
        <w:t>AEP</w:t>
      </w:r>
      <w:proofErr w:type="spellEnd"/>
      <w:r>
        <w:t xml:space="preserve">, the Supreme Court held that decisions regarding “what amount of . . . emissions is unreasonable” and “what </w:t>
      </w:r>
      <w:r>
        <w:lastRenderedPageBreak/>
        <w:t>level of reduction is practical, feasible, and economically viable” were</w:t>
      </w:r>
      <w:r>
        <w:t xml:space="preserve"> entrusted by Congress to the executive branch.  131 S. Ct. at 2540 (internal quotation marks omitted). </w:t>
      </w:r>
    </w:p>
    <w:p w:rsidR="00487786" w:rsidRDefault="009C73ED">
      <w:pPr>
        <w:spacing w:line="480" w:lineRule="auto"/>
        <w:ind w:firstLine="720"/>
      </w:pPr>
      <w:r>
        <w:t xml:space="preserve">Applying this holding, numerous courts have found that the </w:t>
      </w:r>
      <w:proofErr w:type="spellStart"/>
      <w:r>
        <w:t>CAA</w:t>
      </w:r>
      <w:proofErr w:type="spellEnd"/>
      <w:r>
        <w:t xml:space="preserve"> preempts tort claims such as nuisance and trespass that would require a court to make si</w:t>
      </w:r>
      <w:r>
        <w:t xml:space="preserve">milar determinations regarding the “reasonableness” of a defendant’s emissions.  </w:t>
      </w:r>
      <w:r>
        <w:rPr>
          <w:i/>
        </w:rPr>
        <w:t>Bell</w:t>
      </w:r>
      <w:r>
        <w:t xml:space="preserve">, 903 F. Supp. </w:t>
      </w:r>
      <w:proofErr w:type="spellStart"/>
      <w:r>
        <w:t>2d</w:t>
      </w:r>
      <w:proofErr w:type="spellEnd"/>
      <w:r>
        <w:t xml:space="preserve"> at 322 (dismissing state common law claims that “would require an impermissible determination regarding the reasonableness of an otherwise government reg</w:t>
      </w:r>
      <w:r>
        <w:t xml:space="preserve">ulated activity”); </w:t>
      </w:r>
      <w:r>
        <w:rPr>
          <w:i/>
        </w:rPr>
        <w:t>Comer</w:t>
      </w:r>
      <w:r>
        <w:t xml:space="preserve">, 839 F. Supp. </w:t>
      </w:r>
      <w:proofErr w:type="spellStart"/>
      <w:r>
        <w:t>2d</w:t>
      </w:r>
      <w:proofErr w:type="spellEnd"/>
      <w:r>
        <w:t xml:space="preserve"> at 865 (dismissing state common law claims that “hinge[d] on a determination that the defendants’ emissions are unreasonable”); </w:t>
      </w:r>
      <w:r>
        <w:rPr>
          <w:i/>
        </w:rPr>
        <w:t>Freeman</w:t>
      </w:r>
      <w:r>
        <w:t xml:space="preserve">, No. </w:t>
      </w:r>
      <w:proofErr w:type="spellStart"/>
      <w:r>
        <w:t>LACV</w:t>
      </w:r>
      <w:proofErr w:type="spellEnd"/>
      <w:r>
        <w:t xml:space="preserve"> 021232 at 13 (reasonableness of a defendant’s emissions “is a judgme</w:t>
      </w:r>
      <w:r>
        <w:t xml:space="preserve">nt that has been entrusted by Congress to the EPA”).  </w:t>
      </w:r>
    </w:p>
    <w:p w:rsidR="00487786" w:rsidRDefault="009C73ED">
      <w:pPr>
        <w:spacing w:line="480" w:lineRule="auto"/>
      </w:pPr>
      <w:r>
        <w:tab/>
      </w:r>
      <w:bookmarkStart w:id="117" w:name="_MD_Rev83"/>
      <w:bookmarkEnd w:id="117"/>
      <w:r>
        <w:t xml:space="preserve">Similarly, Plaintiffs here ask this Court to find that Defendants’ ethanol emissions are “unreasonable,” </w:t>
      </w:r>
      <w:proofErr w:type="spellStart"/>
      <w:r>
        <w:t>Compl</w:t>
      </w:r>
      <w:proofErr w:type="spellEnd"/>
      <w:r>
        <w:t>. ¶¶ 83, 115, 130, 134, and that those emissions “can be corrected or abated at reasonable</w:t>
      </w:r>
      <w:r>
        <w:t xml:space="preserve"> expense,” </w:t>
      </w:r>
      <w:r>
        <w:rPr>
          <w:i/>
        </w:rPr>
        <w:t>id.</w:t>
      </w:r>
      <w:r>
        <w:t xml:space="preserve"> ¶¶ 87, 88, 151.  These determinations have already been entrusted by Congress to EPA and the </w:t>
      </w:r>
      <w:proofErr w:type="spellStart"/>
      <w:r>
        <w:t>DPNR</w:t>
      </w:r>
      <w:proofErr w:type="spellEnd"/>
      <w:r>
        <w:t xml:space="preserve">.  Accordingly, Plaintiffs’ attempt to bypass those agencies—and to transform this Court into the primary regulator of air emissions in the </w:t>
      </w:r>
      <w:proofErr w:type="spellStart"/>
      <w:r>
        <w:t>USVI</w:t>
      </w:r>
      <w:proofErr w:type="spellEnd"/>
      <w:r>
        <w:t xml:space="preserve">—“cannot be reconciled with the </w:t>
      </w:r>
      <w:proofErr w:type="spellStart"/>
      <w:r>
        <w:t>decisionmaking</w:t>
      </w:r>
      <w:proofErr w:type="spellEnd"/>
      <w:r>
        <w:t xml:space="preserve"> scheme Congress enacted.”  </w:t>
      </w:r>
      <w:proofErr w:type="spellStart"/>
      <w:r>
        <w:rPr>
          <w:i/>
        </w:rPr>
        <w:t>AEP</w:t>
      </w:r>
      <w:proofErr w:type="spellEnd"/>
      <w:r>
        <w:t>, 131 S. Ct. at 2540.</w:t>
      </w:r>
      <w:r>
        <w:rPr>
          <w:rStyle w:val="FootnoteReference"/>
        </w:rPr>
        <w:footnoteReference w:id="11"/>
      </w:r>
      <w:bookmarkStart w:id="118" w:name="_MD_Rev189"/>
      <w:r>
        <w:t xml:space="preserve">  Plaintiffs’ </w:t>
      </w:r>
      <w:r>
        <w:lastRenderedPageBreak/>
        <w:t xml:space="preserve">claims are preempted and therefore should be dismissed with prejudice under Rule 12(b)(6).  </w:t>
      </w:r>
      <w:r>
        <w:rPr>
          <w:i/>
        </w:rPr>
        <w:t>See, e.g., Bell</w:t>
      </w:r>
      <w:r>
        <w:t xml:space="preserve">, 903 F. Supp. </w:t>
      </w:r>
      <w:proofErr w:type="spellStart"/>
      <w:r>
        <w:t>2d</w:t>
      </w:r>
      <w:proofErr w:type="spellEnd"/>
      <w:r>
        <w:t xml:space="preserve"> at 322-23 (holding</w:t>
      </w:r>
      <w:r>
        <w:t xml:space="preserve"> plaintiffs’ common law claims are preempted; dismissing with prejudice pursuant to Rule 12(b)(6)).</w:t>
      </w:r>
      <w:bookmarkEnd w:id="118"/>
    </w:p>
    <w:p w:rsidR="00487786" w:rsidRDefault="009C73ED">
      <w:pPr>
        <w:spacing w:line="480" w:lineRule="auto"/>
        <w:rPr>
          <w:b/>
        </w:rPr>
      </w:pPr>
      <w:r>
        <w:tab/>
      </w:r>
      <w:r>
        <w:rPr>
          <w:b/>
        </w:rPr>
        <w:t>B.</w:t>
      </w:r>
      <w:r>
        <w:rPr>
          <w:b/>
        </w:rPr>
        <w:tab/>
      </w:r>
      <w:bookmarkStart w:id="119" w:name="_MD_Rev190"/>
      <w:r>
        <w:rPr>
          <w:b/>
        </w:rPr>
        <w:t xml:space="preserve">Even If Not Preempted, </w:t>
      </w:r>
      <w:bookmarkEnd w:id="119"/>
      <w:r>
        <w:rPr>
          <w:b/>
        </w:rPr>
        <w:t>Each Count Fails As A Matter Of Law</w:t>
      </w:r>
    </w:p>
    <w:p w:rsidR="00487786" w:rsidRDefault="009C73ED">
      <w:pPr>
        <w:spacing w:line="480" w:lineRule="auto"/>
        <w:ind w:firstLine="720"/>
      </w:pPr>
      <w:r>
        <w:t>Even if Plaintiffs’ claims are not preempted, each count fails as matter of law.  As a thresh</w:t>
      </w:r>
      <w:r>
        <w:t>old matter, although Plaintiffs premise each of their counts on the allegation that control technology is reasonably available and Defendants have a duty to implement it, they fail to plead facts plausibly supporting that allegation.  For this and the addi</w:t>
      </w:r>
      <w:r>
        <w:t xml:space="preserve">tional reasons described below, these counts should be dismissed.  </w:t>
      </w:r>
    </w:p>
    <w:p w:rsidR="00487786" w:rsidRDefault="009C73ED">
      <w:pPr>
        <w:pStyle w:val="ListParagraph"/>
        <w:rPr>
          <w:b/>
        </w:rPr>
      </w:pPr>
      <w:r>
        <w:rPr>
          <w:b/>
        </w:rPr>
        <w:tab/>
        <w:t>1.</w:t>
      </w:r>
      <w:r>
        <w:rPr>
          <w:b/>
        </w:rPr>
        <w:tab/>
        <w:t xml:space="preserve">Plaintiffs Have Failed To Plausibly Plead A Duty To Control </w:t>
      </w:r>
      <w:r>
        <w:rPr>
          <w:b/>
        </w:rPr>
        <w:tab/>
      </w:r>
      <w:r>
        <w:rPr>
          <w:b/>
        </w:rPr>
        <w:tab/>
      </w:r>
      <w:r>
        <w:rPr>
          <w:b/>
        </w:rPr>
        <w:tab/>
        <w:t>Ethanol Emissions</w:t>
      </w:r>
    </w:p>
    <w:p w:rsidR="00487786" w:rsidRDefault="00487786">
      <w:pPr>
        <w:pStyle w:val="ListParagraph"/>
        <w:rPr>
          <w:b/>
        </w:rPr>
      </w:pPr>
    </w:p>
    <w:p w:rsidR="00487786" w:rsidRDefault="009C73ED">
      <w:pPr>
        <w:spacing w:line="480" w:lineRule="auto"/>
        <w:ind w:firstLine="720"/>
      </w:pPr>
      <w:r>
        <w:t xml:space="preserve">Count I of the Complaint alleges a claim for negligence, which is now governed by the </w:t>
      </w:r>
      <w:r>
        <w:rPr>
          <w:i/>
        </w:rPr>
        <w:t>Restatement (Thi</w:t>
      </w:r>
      <w:r>
        <w:rPr>
          <w:i/>
        </w:rPr>
        <w:t>rd) of Torts: Liability for Physical and Emotional Harm</w:t>
      </w:r>
      <w:r>
        <w:t xml:space="preserve"> (Basic Principles) (2005) (hereinafter “</w:t>
      </w:r>
      <w:r>
        <w:rPr>
          <w:i/>
        </w:rPr>
        <w:t>Restatement Third</w:t>
      </w:r>
      <w:r>
        <w:t xml:space="preserve">”).  </w:t>
      </w:r>
      <w:r>
        <w:rPr>
          <w:i/>
        </w:rPr>
        <w:t xml:space="preserve">See </w:t>
      </w:r>
      <w:r>
        <w:t xml:space="preserve">1 </w:t>
      </w:r>
      <w:proofErr w:type="spellStart"/>
      <w:r>
        <w:t>V.I.C</w:t>
      </w:r>
      <w:proofErr w:type="spellEnd"/>
      <w:r>
        <w:t xml:space="preserve">.§ 4; </w:t>
      </w:r>
      <w:r>
        <w:rPr>
          <w:i/>
        </w:rPr>
        <w:t xml:space="preserve">see also Banks et al. v. Int’l Rental and Leasing Corp. d/b/a Budget Rent A Car, </w:t>
      </w:r>
      <w:r>
        <w:rPr>
          <w:rFonts w:ascii="Helvetica" w:hAnsi="Helvetica" w:cs="Helvetica"/>
          <w:color w:val="000000"/>
        </w:rPr>
        <w:t xml:space="preserve">S. Ct. Civ. No. 2011-0037, </w:t>
      </w:r>
      <w:r>
        <w:t>2011 WL 62990</w:t>
      </w:r>
      <w:r>
        <w:t>25 (</w:t>
      </w:r>
      <w:proofErr w:type="spellStart"/>
      <w:r>
        <w:rPr>
          <w:rFonts w:ascii="Helvetica" w:hAnsi="Helvetica" w:cs="Helvetica"/>
          <w:color w:val="000000"/>
        </w:rPr>
        <w:t>V.I</w:t>
      </w:r>
      <w:proofErr w:type="spellEnd"/>
      <w:r>
        <w:rPr>
          <w:rFonts w:ascii="Helvetica" w:hAnsi="Helvetica" w:cs="Helvetica"/>
          <w:color w:val="000000"/>
        </w:rPr>
        <w:t xml:space="preserve">. </w:t>
      </w:r>
      <w:r>
        <w:t>Dec. 15, 2011)</w:t>
      </w:r>
      <w:r>
        <w:rPr>
          <w:i/>
        </w:rPr>
        <w:t>.</w:t>
      </w:r>
      <w:r>
        <w:t xml:space="preserve">  A critical element of a negligence claim is a duty of care.  </w:t>
      </w:r>
      <w:r>
        <w:rPr>
          <w:i/>
        </w:rPr>
        <w:t xml:space="preserve">See </w:t>
      </w:r>
      <w:proofErr w:type="spellStart"/>
      <w:r>
        <w:rPr>
          <w:i/>
        </w:rPr>
        <w:t>Nickeo</w:t>
      </w:r>
      <w:proofErr w:type="spellEnd"/>
      <w:r>
        <w:rPr>
          <w:i/>
        </w:rPr>
        <w:t xml:space="preserve"> v. Atlantic Tele-Network Co.</w:t>
      </w:r>
      <w:r>
        <w:t>, Civ. No. 748/1997, 2003 WL 193435, at *8 (</w:t>
      </w:r>
      <w:proofErr w:type="spellStart"/>
      <w:r>
        <w:t>V.I</w:t>
      </w:r>
      <w:proofErr w:type="spellEnd"/>
      <w:r>
        <w:t>. Terr. Ct. Jan. 14, 2003) (explaining that, to “sue in negligence, a plaintiff mus</w:t>
      </w:r>
      <w:r>
        <w:t xml:space="preserve">t establish that the individual defendants had a duty of care to the plaintiff”).  Here, the Complaint alleges that Defendants have breached a duty to use capture and control technology—specifically, </w:t>
      </w:r>
      <w:proofErr w:type="spellStart"/>
      <w:r>
        <w:t>RTO</w:t>
      </w:r>
      <w:proofErr w:type="spellEnd"/>
      <w:r>
        <w:t xml:space="preserve"> technology—to reduce ethanol emissions.  </w:t>
      </w:r>
      <w:proofErr w:type="spellStart"/>
      <w:r>
        <w:t>Compl</w:t>
      </w:r>
      <w:proofErr w:type="spellEnd"/>
      <w:r>
        <w:t xml:space="preserve">. </w:t>
      </w:r>
      <w:r>
        <w:lastRenderedPageBreak/>
        <w:t>¶¶ 2</w:t>
      </w:r>
      <w:r>
        <w:t xml:space="preserve">8-29, 72; 131-52.  But the facts pled by Plaintiffs do not plausibly support such a duty.  </w:t>
      </w:r>
    </w:p>
    <w:p w:rsidR="00487786" w:rsidRDefault="009C73ED">
      <w:pPr>
        <w:spacing w:line="480" w:lineRule="auto"/>
        <w:ind w:firstLine="720"/>
      </w:pPr>
      <w:r>
        <w:t xml:space="preserve">As noted above, Plaintiffs do not and cannot allege the existence of any state or federal statute or regulation, local ordinance, or other law requiring Defendants </w:t>
      </w:r>
      <w:r>
        <w:t xml:space="preserve">(or any other rum producer) to use capture and control technology at rum aging facilities, much less to use </w:t>
      </w:r>
      <w:proofErr w:type="spellStart"/>
      <w:r>
        <w:t>RTO</w:t>
      </w:r>
      <w:proofErr w:type="spellEnd"/>
      <w:r>
        <w:t xml:space="preserve"> technology.  Nor do Defendants’ operating permits require capture and control technology with respect to their rum-aging facilities.  </w:t>
      </w:r>
      <w:r>
        <w:rPr>
          <w:i/>
        </w:rPr>
        <w:t xml:space="preserve">See e.g., </w:t>
      </w:r>
      <w:r>
        <w:t>Exhibit 8.  Indeed, Plaintiffs do not plead that any company anywhere has ever implemented such technology for a rum-aging warehouse.</w:t>
      </w:r>
      <w:r>
        <w:rPr>
          <w:rStyle w:val="FootnoteReference"/>
        </w:rPr>
        <w:footnoteReference w:id="12"/>
      </w:r>
    </w:p>
    <w:p w:rsidR="00487786" w:rsidRDefault="009C73ED">
      <w:pPr>
        <w:spacing w:line="480" w:lineRule="auto"/>
        <w:ind w:firstLine="720"/>
      </w:pPr>
      <w:r>
        <w:t xml:space="preserve">To the contrary, for decades, the EPA consistently has taken the position that there is </w:t>
      </w:r>
      <w:r>
        <w:rPr>
          <w:i/>
        </w:rPr>
        <w:t xml:space="preserve">no duty </w:t>
      </w:r>
      <w:r>
        <w:t xml:space="preserve">to implement capture and </w:t>
      </w:r>
      <w:r>
        <w:t xml:space="preserve">control technology at distilled spirits aging facilities.  </w:t>
      </w:r>
      <w:r>
        <w:rPr>
          <w:i/>
        </w:rPr>
        <w:t xml:space="preserve">See supra at </w:t>
      </w:r>
      <w:r w:rsidR="006918C6">
        <w:rPr>
          <w:i/>
        </w:rPr>
        <w:t>5-6</w:t>
      </w:r>
      <w:bookmarkStart w:id="120" w:name="_GoBack"/>
      <w:bookmarkEnd w:id="120"/>
      <w:r>
        <w:t xml:space="preserve">.  The EPA determined specifically with respect to rum that control technology is not reasonably available for aging facilities when it approved Maryland’s proposed requirements on a </w:t>
      </w:r>
      <w:r>
        <w:t xml:space="preserve">Seagram &amp; Sons (“Seagram”) rum facility.  In 2001, Maryland decided to adopt a rule defining reasonably available control technology </w:t>
      </w:r>
      <w:r>
        <w:lastRenderedPageBreak/>
        <w:t>(“</w:t>
      </w:r>
      <w:proofErr w:type="spellStart"/>
      <w:r>
        <w:t>RACT</w:t>
      </w:r>
      <w:proofErr w:type="spellEnd"/>
      <w:r>
        <w:t>”)</w:t>
      </w:r>
      <w:r>
        <w:rPr>
          <w:rStyle w:val="FootnoteReference"/>
        </w:rPr>
        <w:footnoteReference w:id="13"/>
      </w:r>
      <w:r>
        <w:t xml:space="preserve"> requirements for distilled spirits facilities.  The only facility affected by Maryland’s rule was Seagram’s rum facility.  When formulating this </w:t>
      </w:r>
      <w:proofErr w:type="spellStart"/>
      <w:r>
        <w:t>RACT</w:t>
      </w:r>
      <w:proofErr w:type="spellEnd"/>
      <w:r>
        <w:t xml:space="preserve"> rule, Maryland recognized the fundamentals of aging distilled spirits, and how a requirement to change ai</w:t>
      </w:r>
      <w:r>
        <w:t xml:space="preserve">r flows will damage the product.  In its Technical Support Document developed to support this </w:t>
      </w:r>
      <w:proofErr w:type="spellStart"/>
      <w:r>
        <w:t>RACT</w:t>
      </w:r>
      <w:proofErr w:type="spellEnd"/>
      <w:r>
        <w:t xml:space="preserve"> rule, the Maryland Department for the Environment noted:</w:t>
      </w:r>
    </w:p>
    <w:p w:rsidR="00487786" w:rsidRDefault="009C73ED">
      <w:pPr>
        <w:ind w:left="720" w:right="720"/>
      </w:pPr>
      <w:r>
        <w:t xml:space="preserve">The </w:t>
      </w:r>
      <w:proofErr w:type="spellStart"/>
      <w:r>
        <w:t>VOC</w:t>
      </w:r>
      <w:proofErr w:type="spellEnd"/>
      <w:r>
        <w:t xml:space="preserve"> from the aging operation is released as fugitive emissions and is caused by the breathing of</w:t>
      </w:r>
      <w:r>
        <w:t xml:space="preserve"> the barrels.  The reaction within the barrel and the breathing are part of the aging cycle.  Interference with the breathing of the barrels or changing the airflow interfere with the product quality.</w:t>
      </w:r>
    </w:p>
    <w:p w:rsidR="00487786" w:rsidRDefault="00487786">
      <w:pPr>
        <w:ind w:left="720"/>
      </w:pPr>
    </w:p>
    <w:p w:rsidR="00487786" w:rsidRDefault="009C73ED">
      <w:pPr>
        <w:autoSpaceDE w:val="0"/>
        <w:autoSpaceDN w:val="0"/>
        <w:adjustRightInd w:val="0"/>
        <w:spacing w:line="480" w:lineRule="auto"/>
        <w:ind w:right="-14"/>
        <w:jc w:val="left"/>
      </w:pPr>
      <w:proofErr w:type="spellStart"/>
      <w:r>
        <w:t>MDE</w:t>
      </w:r>
      <w:proofErr w:type="spellEnd"/>
      <w:r>
        <w:t xml:space="preserve"> Technical Support Document, Control of Volatile Organic Compounds from Distilled Spirits Facilities, </w:t>
      </w:r>
      <w:proofErr w:type="spellStart"/>
      <w:r>
        <w:t>COMAR</w:t>
      </w:r>
      <w:proofErr w:type="spellEnd"/>
      <w:r>
        <w:t xml:space="preserve"> 26.11.19.20, p. 1.  </w:t>
      </w:r>
    </w:p>
    <w:p w:rsidR="00487786" w:rsidRDefault="009C73ED">
      <w:pPr>
        <w:autoSpaceDE w:val="0"/>
        <w:autoSpaceDN w:val="0"/>
        <w:adjustRightInd w:val="0"/>
        <w:spacing w:line="480" w:lineRule="auto"/>
        <w:ind w:right="-14"/>
        <w:rPr>
          <w:rFonts w:ascii="Times New Roman" w:eastAsiaTheme="minorEastAsia" w:hAnsi="Times New Roman" w:cs="Times New Roman"/>
        </w:rPr>
      </w:pPr>
      <w:r>
        <w:rPr>
          <w:rFonts w:ascii="Times New Roman" w:eastAsiaTheme="minorEastAsia" w:hAnsi="Times New Roman" w:cs="Times New Roman"/>
          <w:spacing w:val="1"/>
        </w:rPr>
        <w:tab/>
      </w:r>
      <w:r>
        <w:rPr>
          <w:rFonts w:eastAsiaTheme="minorEastAsia"/>
          <w:spacing w:val="1"/>
        </w:rPr>
        <w:t>M</w:t>
      </w:r>
      <w:r>
        <w:rPr>
          <w:rFonts w:eastAsiaTheme="minorEastAsia"/>
          <w:spacing w:val="-1"/>
        </w:rPr>
        <w:t>a</w:t>
      </w:r>
      <w:r>
        <w:rPr>
          <w:rFonts w:eastAsiaTheme="minorEastAsia"/>
          <w:spacing w:val="4"/>
        </w:rPr>
        <w:t>r</w:t>
      </w:r>
      <w:r>
        <w:rPr>
          <w:rFonts w:eastAsiaTheme="minorEastAsia"/>
          <w:spacing w:val="-7"/>
        </w:rPr>
        <w:t>y</w:t>
      </w:r>
      <w:r>
        <w:rPr>
          <w:rFonts w:eastAsiaTheme="minorEastAsia"/>
          <w:spacing w:val="3"/>
        </w:rPr>
        <w:t>l</w:t>
      </w:r>
      <w:r>
        <w:rPr>
          <w:rFonts w:eastAsiaTheme="minorEastAsia"/>
          <w:spacing w:val="-1"/>
        </w:rPr>
        <w:t>a</w:t>
      </w:r>
      <w:r>
        <w:rPr>
          <w:rFonts w:eastAsiaTheme="minorEastAsia"/>
        </w:rPr>
        <w:t>nd</w:t>
      </w:r>
      <w:r>
        <w:rPr>
          <w:rFonts w:eastAsiaTheme="minorEastAsia"/>
          <w:spacing w:val="20"/>
        </w:rPr>
        <w:t xml:space="preserve"> </w:t>
      </w:r>
      <w:r>
        <w:rPr>
          <w:rFonts w:eastAsiaTheme="minorEastAsia"/>
        </w:rPr>
        <w:t>sou</w:t>
      </w:r>
      <w:r>
        <w:rPr>
          <w:rFonts w:eastAsiaTheme="minorEastAsia"/>
          <w:spacing w:val="-2"/>
        </w:rPr>
        <w:t>g</w:t>
      </w:r>
      <w:r>
        <w:rPr>
          <w:rFonts w:eastAsiaTheme="minorEastAsia"/>
        </w:rPr>
        <w:t xml:space="preserve">ht </w:t>
      </w:r>
      <w:r>
        <w:rPr>
          <w:rFonts w:eastAsiaTheme="minorEastAsia"/>
          <w:spacing w:val="1"/>
        </w:rPr>
        <w:t>t</w:t>
      </w:r>
      <w:r>
        <w:rPr>
          <w:rFonts w:eastAsiaTheme="minorEastAsia"/>
        </w:rPr>
        <w:t>o h</w:t>
      </w:r>
      <w:r>
        <w:rPr>
          <w:rFonts w:eastAsiaTheme="minorEastAsia"/>
          <w:spacing w:val="-1"/>
        </w:rPr>
        <w:t>a</w:t>
      </w:r>
      <w:r>
        <w:rPr>
          <w:rFonts w:eastAsiaTheme="minorEastAsia"/>
        </w:rPr>
        <w:t xml:space="preserve">ve </w:t>
      </w:r>
      <w:r>
        <w:rPr>
          <w:rFonts w:eastAsiaTheme="minorEastAsia"/>
          <w:spacing w:val="1"/>
        </w:rPr>
        <w:t>t</w:t>
      </w:r>
      <w:r>
        <w:rPr>
          <w:rFonts w:eastAsiaTheme="minorEastAsia"/>
        </w:rPr>
        <w:t>he E</w:t>
      </w:r>
      <w:r>
        <w:rPr>
          <w:rFonts w:eastAsiaTheme="minorEastAsia"/>
          <w:spacing w:val="1"/>
        </w:rPr>
        <w:t>P</w:t>
      </w:r>
      <w:r>
        <w:rPr>
          <w:rFonts w:eastAsiaTheme="minorEastAsia"/>
        </w:rPr>
        <w:t>A</w:t>
      </w:r>
      <w:r>
        <w:rPr>
          <w:rFonts w:eastAsiaTheme="minorEastAsia"/>
          <w:spacing w:val="24"/>
        </w:rPr>
        <w:t xml:space="preserve"> </w:t>
      </w:r>
      <w:r>
        <w:rPr>
          <w:rFonts w:eastAsiaTheme="minorEastAsia"/>
          <w:spacing w:val="-1"/>
        </w:rPr>
        <w:t>a</w:t>
      </w:r>
      <w:r>
        <w:rPr>
          <w:rFonts w:eastAsiaTheme="minorEastAsia"/>
        </w:rPr>
        <w:t>pp</w:t>
      </w:r>
      <w:r>
        <w:rPr>
          <w:rFonts w:eastAsiaTheme="minorEastAsia"/>
          <w:spacing w:val="-1"/>
        </w:rPr>
        <w:t>r</w:t>
      </w:r>
      <w:r>
        <w:rPr>
          <w:rFonts w:eastAsiaTheme="minorEastAsia"/>
        </w:rPr>
        <w:t>ove</w:t>
      </w:r>
      <w:r>
        <w:rPr>
          <w:rFonts w:eastAsiaTheme="minorEastAsia"/>
          <w:spacing w:val="20"/>
        </w:rPr>
        <w:t xml:space="preserve"> </w:t>
      </w:r>
      <w:r>
        <w:rPr>
          <w:rFonts w:eastAsiaTheme="minorEastAsia"/>
          <w:spacing w:val="1"/>
        </w:rPr>
        <w:t>t</w:t>
      </w:r>
      <w:r>
        <w:rPr>
          <w:rFonts w:eastAsiaTheme="minorEastAsia"/>
        </w:rPr>
        <w:t>h</w:t>
      </w:r>
      <w:r>
        <w:rPr>
          <w:rFonts w:eastAsiaTheme="minorEastAsia"/>
          <w:spacing w:val="1"/>
        </w:rPr>
        <w:t>i</w:t>
      </w:r>
      <w:r>
        <w:rPr>
          <w:rFonts w:eastAsiaTheme="minorEastAsia"/>
        </w:rPr>
        <w:t xml:space="preserve">s </w:t>
      </w:r>
      <w:proofErr w:type="spellStart"/>
      <w:r>
        <w:rPr>
          <w:rFonts w:eastAsiaTheme="minorEastAsia"/>
          <w:spacing w:val="1"/>
        </w:rPr>
        <w:t>R</w:t>
      </w:r>
      <w:r>
        <w:rPr>
          <w:rFonts w:eastAsiaTheme="minorEastAsia"/>
        </w:rPr>
        <w:t>A</w:t>
      </w:r>
      <w:r>
        <w:rPr>
          <w:rFonts w:eastAsiaTheme="minorEastAsia"/>
          <w:spacing w:val="1"/>
        </w:rPr>
        <w:t>C</w:t>
      </w:r>
      <w:r>
        <w:rPr>
          <w:rFonts w:eastAsiaTheme="minorEastAsia"/>
        </w:rPr>
        <w:t>T</w:t>
      </w:r>
      <w:proofErr w:type="spellEnd"/>
      <w:r>
        <w:rPr>
          <w:rFonts w:eastAsiaTheme="minorEastAsia"/>
        </w:rPr>
        <w:t xml:space="preserve"> </w:t>
      </w:r>
      <w:r>
        <w:rPr>
          <w:rFonts w:eastAsiaTheme="minorEastAsia"/>
          <w:spacing w:val="-1"/>
        </w:rPr>
        <w:t>r</w:t>
      </w:r>
      <w:r>
        <w:rPr>
          <w:rFonts w:eastAsiaTheme="minorEastAsia"/>
        </w:rPr>
        <w:t>u</w:t>
      </w:r>
      <w:r>
        <w:rPr>
          <w:rFonts w:eastAsiaTheme="minorEastAsia"/>
          <w:spacing w:val="1"/>
        </w:rPr>
        <w:t>l</w:t>
      </w:r>
      <w:r>
        <w:rPr>
          <w:rFonts w:eastAsiaTheme="minorEastAsia"/>
        </w:rPr>
        <w:t>e</w:t>
      </w:r>
      <w:r>
        <w:rPr>
          <w:rFonts w:eastAsiaTheme="minorEastAsia"/>
          <w:spacing w:val="24"/>
        </w:rPr>
        <w:t xml:space="preserve"> </w:t>
      </w:r>
      <w:r>
        <w:rPr>
          <w:rFonts w:eastAsiaTheme="minorEastAsia"/>
          <w:spacing w:val="-1"/>
        </w:rPr>
        <w:t>a</w:t>
      </w:r>
      <w:r>
        <w:rPr>
          <w:rFonts w:eastAsiaTheme="minorEastAsia"/>
        </w:rPr>
        <w:t>s</w:t>
      </w:r>
      <w:r>
        <w:rPr>
          <w:rFonts w:eastAsiaTheme="minorEastAsia"/>
          <w:spacing w:val="25"/>
        </w:rPr>
        <w:t xml:space="preserve"> </w:t>
      </w:r>
      <w:r>
        <w:rPr>
          <w:rFonts w:eastAsiaTheme="minorEastAsia"/>
        </w:rPr>
        <w:t>p</w:t>
      </w:r>
      <w:r>
        <w:rPr>
          <w:rFonts w:eastAsiaTheme="minorEastAsia"/>
          <w:spacing w:val="-1"/>
        </w:rPr>
        <w:t>ar</w:t>
      </w:r>
      <w:r>
        <w:rPr>
          <w:rFonts w:eastAsiaTheme="minorEastAsia"/>
        </w:rPr>
        <w:t>t</w:t>
      </w:r>
      <w:r>
        <w:rPr>
          <w:rFonts w:eastAsiaTheme="minorEastAsia"/>
          <w:spacing w:val="25"/>
        </w:rPr>
        <w:t xml:space="preserve"> </w:t>
      </w:r>
      <w:r>
        <w:rPr>
          <w:rFonts w:eastAsiaTheme="minorEastAsia"/>
        </w:rPr>
        <w:t xml:space="preserve">of </w:t>
      </w:r>
      <w:r>
        <w:rPr>
          <w:rFonts w:eastAsiaTheme="minorEastAsia"/>
          <w:spacing w:val="1"/>
        </w:rPr>
        <w:t>it</w:t>
      </w:r>
      <w:r>
        <w:rPr>
          <w:rFonts w:eastAsiaTheme="minorEastAsia"/>
        </w:rPr>
        <w:t xml:space="preserve">s </w:t>
      </w:r>
      <w:r>
        <w:rPr>
          <w:rFonts w:eastAsiaTheme="minorEastAsia"/>
          <w:spacing w:val="1"/>
        </w:rPr>
        <w:t xml:space="preserve">SIP.  </w:t>
      </w:r>
      <w:r>
        <w:rPr>
          <w:rFonts w:eastAsiaTheme="minorEastAsia"/>
        </w:rPr>
        <w:t>The</w:t>
      </w:r>
      <w:r>
        <w:rPr>
          <w:rFonts w:eastAsiaTheme="minorEastAsia"/>
          <w:spacing w:val="-2"/>
        </w:rPr>
        <w:t xml:space="preserve"> </w:t>
      </w:r>
      <w:r>
        <w:rPr>
          <w:rFonts w:eastAsiaTheme="minorEastAsia"/>
          <w:spacing w:val="-1"/>
        </w:rPr>
        <w:t>r</w:t>
      </w:r>
      <w:r>
        <w:rPr>
          <w:rFonts w:eastAsiaTheme="minorEastAsia"/>
          <w:spacing w:val="2"/>
        </w:rPr>
        <w:t>ule</w:t>
      </w:r>
      <w:r>
        <w:rPr>
          <w:rFonts w:eastAsiaTheme="minorEastAsia"/>
          <w:spacing w:val="-7"/>
        </w:rPr>
        <w:t xml:space="preserve"> </w:t>
      </w:r>
      <w:r>
        <w:rPr>
          <w:rFonts w:eastAsiaTheme="minorEastAsia"/>
          <w:spacing w:val="1"/>
        </w:rPr>
        <w:t>im</w:t>
      </w:r>
      <w:r>
        <w:rPr>
          <w:rFonts w:eastAsiaTheme="minorEastAsia"/>
        </w:rPr>
        <w:t>pos</w:t>
      </w:r>
      <w:r>
        <w:rPr>
          <w:rFonts w:eastAsiaTheme="minorEastAsia"/>
          <w:spacing w:val="-1"/>
        </w:rPr>
        <w:t>e</w:t>
      </w:r>
      <w:r>
        <w:rPr>
          <w:rFonts w:eastAsiaTheme="minorEastAsia"/>
        </w:rPr>
        <w:t>s</w:t>
      </w:r>
      <w:r>
        <w:rPr>
          <w:rFonts w:eastAsiaTheme="minorEastAsia"/>
          <w:spacing w:val="-5"/>
        </w:rPr>
        <w:t xml:space="preserve"> </w:t>
      </w:r>
      <w:r>
        <w:rPr>
          <w:rFonts w:eastAsiaTheme="minorEastAsia"/>
          <w:spacing w:val="-2"/>
        </w:rPr>
        <w:t>g</w:t>
      </w:r>
      <w:r>
        <w:rPr>
          <w:rFonts w:eastAsiaTheme="minorEastAsia"/>
        </w:rPr>
        <w:t>ood</w:t>
      </w:r>
      <w:r>
        <w:rPr>
          <w:rFonts w:eastAsiaTheme="minorEastAsia"/>
          <w:spacing w:val="-2"/>
        </w:rPr>
        <w:t xml:space="preserve"> </w:t>
      </w:r>
      <w:r>
        <w:rPr>
          <w:rFonts w:eastAsiaTheme="minorEastAsia"/>
          <w:spacing w:val="3"/>
        </w:rPr>
        <w:t>m</w:t>
      </w:r>
      <w:r>
        <w:rPr>
          <w:rFonts w:eastAsiaTheme="minorEastAsia"/>
          <w:spacing w:val="-1"/>
        </w:rPr>
        <w:t>a</w:t>
      </w:r>
      <w:r>
        <w:rPr>
          <w:rFonts w:eastAsiaTheme="minorEastAsia"/>
        </w:rPr>
        <w:t>n</w:t>
      </w:r>
      <w:r>
        <w:rPr>
          <w:rFonts w:eastAsiaTheme="minorEastAsia"/>
          <w:spacing w:val="2"/>
        </w:rPr>
        <w:t>a</w:t>
      </w:r>
      <w:r>
        <w:rPr>
          <w:rFonts w:eastAsiaTheme="minorEastAsia"/>
          <w:spacing w:val="-2"/>
        </w:rPr>
        <w:t>g</w:t>
      </w:r>
      <w:r>
        <w:rPr>
          <w:rFonts w:eastAsiaTheme="minorEastAsia"/>
          <w:spacing w:val="-1"/>
        </w:rPr>
        <w:t>e</w:t>
      </w:r>
      <w:r>
        <w:rPr>
          <w:rFonts w:eastAsiaTheme="minorEastAsia"/>
          <w:spacing w:val="3"/>
        </w:rPr>
        <w:t>m</w:t>
      </w:r>
      <w:r>
        <w:rPr>
          <w:rFonts w:eastAsiaTheme="minorEastAsia"/>
          <w:spacing w:val="-1"/>
        </w:rPr>
        <w:t>e</w:t>
      </w:r>
      <w:r>
        <w:rPr>
          <w:rFonts w:eastAsiaTheme="minorEastAsia"/>
        </w:rPr>
        <w:t>nt</w:t>
      </w:r>
      <w:r>
        <w:rPr>
          <w:rFonts w:eastAsiaTheme="minorEastAsia"/>
          <w:spacing w:val="-9"/>
        </w:rPr>
        <w:t xml:space="preserve"> </w:t>
      </w:r>
      <w:r>
        <w:rPr>
          <w:rFonts w:eastAsiaTheme="minorEastAsia"/>
        </w:rPr>
        <w:t>p</w:t>
      </w:r>
      <w:r>
        <w:rPr>
          <w:rFonts w:eastAsiaTheme="minorEastAsia"/>
          <w:spacing w:val="-1"/>
        </w:rPr>
        <w:t>rac</w:t>
      </w:r>
      <w:r>
        <w:rPr>
          <w:rFonts w:eastAsiaTheme="minorEastAsia"/>
          <w:spacing w:val="1"/>
        </w:rPr>
        <w:t>ti</w:t>
      </w:r>
      <w:r>
        <w:rPr>
          <w:rFonts w:eastAsiaTheme="minorEastAsia"/>
          <w:spacing w:val="-1"/>
        </w:rPr>
        <w:t>c</w:t>
      </w:r>
      <w:r>
        <w:rPr>
          <w:rFonts w:eastAsiaTheme="minorEastAsia"/>
        </w:rPr>
        <w:t>e</w:t>
      </w:r>
      <w:r>
        <w:rPr>
          <w:rFonts w:eastAsiaTheme="minorEastAsia"/>
          <w:spacing w:val="-4"/>
        </w:rPr>
        <w:t xml:space="preserve"> </w:t>
      </w:r>
      <w:r>
        <w:rPr>
          <w:rFonts w:eastAsiaTheme="minorEastAsia"/>
          <w:spacing w:val="-1"/>
        </w:rPr>
        <w:t>re</w:t>
      </w:r>
      <w:r>
        <w:rPr>
          <w:rFonts w:eastAsiaTheme="minorEastAsia"/>
        </w:rPr>
        <w:t>qu</w:t>
      </w:r>
      <w:r>
        <w:rPr>
          <w:rFonts w:eastAsiaTheme="minorEastAsia"/>
          <w:spacing w:val="1"/>
        </w:rPr>
        <w:t>i</w:t>
      </w:r>
      <w:r>
        <w:rPr>
          <w:rFonts w:eastAsiaTheme="minorEastAsia"/>
          <w:spacing w:val="2"/>
        </w:rPr>
        <w:t>r</w:t>
      </w:r>
      <w:r>
        <w:rPr>
          <w:rFonts w:eastAsiaTheme="minorEastAsia"/>
          <w:spacing w:val="-1"/>
        </w:rPr>
        <w:t>e</w:t>
      </w:r>
      <w:r>
        <w:rPr>
          <w:rFonts w:eastAsiaTheme="minorEastAsia"/>
          <w:spacing w:val="1"/>
        </w:rPr>
        <w:t>m</w:t>
      </w:r>
      <w:r>
        <w:rPr>
          <w:rFonts w:eastAsiaTheme="minorEastAsia"/>
          <w:spacing w:val="-1"/>
        </w:rPr>
        <w:t>e</w:t>
      </w:r>
      <w:r>
        <w:rPr>
          <w:rFonts w:eastAsiaTheme="minorEastAsia"/>
        </w:rPr>
        <w:t>n</w:t>
      </w:r>
      <w:r>
        <w:rPr>
          <w:rFonts w:eastAsiaTheme="minorEastAsia"/>
          <w:spacing w:val="1"/>
        </w:rPr>
        <w:t>t</w:t>
      </w:r>
      <w:r>
        <w:rPr>
          <w:rFonts w:eastAsiaTheme="minorEastAsia"/>
        </w:rPr>
        <w:t>s on</w:t>
      </w:r>
      <w:r>
        <w:rPr>
          <w:rFonts w:eastAsiaTheme="minorEastAsia"/>
          <w:spacing w:val="44"/>
        </w:rPr>
        <w:t xml:space="preserve"> </w:t>
      </w:r>
      <w:r>
        <w:rPr>
          <w:rFonts w:eastAsiaTheme="minorEastAsia"/>
        </w:rPr>
        <w:t>b</w:t>
      </w:r>
      <w:r>
        <w:rPr>
          <w:rFonts w:eastAsiaTheme="minorEastAsia"/>
          <w:spacing w:val="-1"/>
        </w:rPr>
        <w:t>arre</w:t>
      </w:r>
      <w:r>
        <w:rPr>
          <w:rFonts w:eastAsiaTheme="minorEastAsia"/>
        </w:rPr>
        <w:t>l</w:t>
      </w:r>
      <w:r>
        <w:rPr>
          <w:rFonts w:eastAsiaTheme="minorEastAsia"/>
          <w:spacing w:val="40"/>
        </w:rPr>
        <w:t xml:space="preserve"> </w:t>
      </w:r>
      <w:r>
        <w:rPr>
          <w:rFonts w:eastAsiaTheme="minorEastAsia"/>
          <w:spacing w:val="-1"/>
        </w:rPr>
        <w:t>f</w:t>
      </w:r>
      <w:r>
        <w:rPr>
          <w:rFonts w:eastAsiaTheme="minorEastAsia"/>
          <w:spacing w:val="1"/>
        </w:rPr>
        <w:t>illi</w:t>
      </w:r>
      <w:r>
        <w:rPr>
          <w:rFonts w:eastAsiaTheme="minorEastAsia"/>
        </w:rPr>
        <w:t>ng</w:t>
      </w:r>
      <w:r>
        <w:rPr>
          <w:rFonts w:eastAsiaTheme="minorEastAsia"/>
          <w:spacing w:val="40"/>
        </w:rPr>
        <w:t xml:space="preserve"> </w:t>
      </w:r>
      <w:r>
        <w:rPr>
          <w:rFonts w:eastAsiaTheme="minorEastAsia"/>
          <w:spacing w:val="-1"/>
        </w:rPr>
        <w:t>a</w:t>
      </w:r>
      <w:r>
        <w:rPr>
          <w:rFonts w:eastAsiaTheme="minorEastAsia"/>
        </w:rPr>
        <w:t>nd</w:t>
      </w:r>
      <w:r>
        <w:rPr>
          <w:rFonts w:eastAsiaTheme="minorEastAsia"/>
          <w:spacing w:val="43"/>
        </w:rPr>
        <w:t xml:space="preserve"> </w:t>
      </w:r>
      <w:r>
        <w:rPr>
          <w:rFonts w:eastAsiaTheme="minorEastAsia"/>
          <w:spacing w:val="-1"/>
        </w:rPr>
        <w:t>e</w:t>
      </w:r>
      <w:r>
        <w:rPr>
          <w:rFonts w:eastAsiaTheme="minorEastAsia"/>
          <w:spacing w:val="3"/>
        </w:rPr>
        <w:t>m</w:t>
      </w:r>
      <w:r>
        <w:rPr>
          <w:rFonts w:eastAsiaTheme="minorEastAsia"/>
        </w:rPr>
        <w:t>p</w:t>
      </w:r>
      <w:r>
        <w:rPr>
          <w:rFonts w:eastAsiaTheme="minorEastAsia"/>
          <w:spacing w:val="3"/>
        </w:rPr>
        <w:t>t</w:t>
      </w:r>
      <w:r>
        <w:rPr>
          <w:rFonts w:eastAsiaTheme="minorEastAsia"/>
          <w:spacing w:val="-5"/>
        </w:rPr>
        <w:t>y</w:t>
      </w:r>
      <w:r>
        <w:rPr>
          <w:rFonts w:eastAsiaTheme="minorEastAsia"/>
          <w:spacing w:val="1"/>
        </w:rPr>
        <w:t>i</w:t>
      </w:r>
      <w:r>
        <w:rPr>
          <w:rFonts w:eastAsiaTheme="minorEastAsia"/>
          <w:spacing w:val="3"/>
        </w:rPr>
        <w:t>n</w:t>
      </w:r>
      <w:r>
        <w:rPr>
          <w:rFonts w:eastAsiaTheme="minorEastAsia"/>
        </w:rPr>
        <w:t>g</w:t>
      </w:r>
      <w:r>
        <w:rPr>
          <w:rFonts w:eastAsiaTheme="minorEastAsia"/>
          <w:spacing w:val="34"/>
        </w:rPr>
        <w:t xml:space="preserve"> </w:t>
      </w:r>
      <w:r>
        <w:rPr>
          <w:rFonts w:eastAsiaTheme="minorEastAsia"/>
          <w:spacing w:val="-1"/>
        </w:rPr>
        <w:t>a</w:t>
      </w:r>
      <w:r>
        <w:rPr>
          <w:rFonts w:eastAsiaTheme="minorEastAsia"/>
        </w:rPr>
        <w:t>nd</w:t>
      </w:r>
      <w:r>
        <w:rPr>
          <w:rFonts w:eastAsiaTheme="minorEastAsia"/>
          <w:spacing w:val="43"/>
        </w:rPr>
        <w:t xml:space="preserve"> </w:t>
      </w:r>
      <w:r>
        <w:rPr>
          <w:rFonts w:eastAsiaTheme="minorEastAsia"/>
        </w:rPr>
        <w:t>on</w:t>
      </w:r>
      <w:r>
        <w:rPr>
          <w:rFonts w:eastAsiaTheme="minorEastAsia"/>
          <w:spacing w:val="44"/>
        </w:rPr>
        <w:t xml:space="preserve"> </w:t>
      </w:r>
      <w:r>
        <w:rPr>
          <w:rFonts w:eastAsiaTheme="minorEastAsia"/>
        </w:rPr>
        <w:t>s</w:t>
      </w:r>
      <w:r>
        <w:rPr>
          <w:rFonts w:eastAsiaTheme="minorEastAsia"/>
          <w:spacing w:val="1"/>
        </w:rPr>
        <w:t>t</w:t>
      </w:r>
      <w:r>
        <w:rPr>
          <w:rFonts w:eastAsiaTheme="minorEastAsia"/>
        </w:rPr>
        <w:t>o</w:t>
      </w:r>
      <w:r>
        <w:rPr>
          <w:rFonts w:eastAsiaTheme="minorEastAsia"/>
          <w:spacing w:val="-1"/>
        </w:rPr>
        <w:t>r</w:t>
      </w:r>
      <w:r>
        <w:rPr>
          <w:rFonts w:eastAsiaTheme="minorEastAsia"/>
          <w:spacing w:val="1"/>
        </w:rPr>
        <w:t>i</w:t>
      </w:r>
      <w:r>
        <w:rPr>
          <w:rFonts w:eastAsiaTheme="minorEastAsia"/>
          <w:spacing w:val="3"/>
        </w:rPr>
        <w:t>n</w:t>
      </w:r>
      <w:r>
        <w:rPr>
          <w:rFonts w:eastAsiaTheme="minorEastAsia"/>
        </w:rPr>
        <w:t>g</w:t>
      </w:r>
      <w:r>
        <w:rPr>
          <w:rFonts w:eastAsiaTheme="minorEastAsia"/>
          <w:spacing w:val="36"/>
        </w:rPr>
        <w:t xml:space="preserve"> </w:t>
      </w:r>
      <w:r>
        <w:rPr>
          <w:rFonts w:eastAsiaTheme="minorEastAsia"/>
          <w:spacing w:val="2"/>
        </w:rPr>
        <w:t>e</w:t>
      </w:r>
      <w:r>
        <w:rPr>
          <w:rFonts w:eastAsiaTheme="minorEastAsia"/>
          <w:spacing w:val="1"/>
        </w:rPr>
        <w:t>m</w:t>
      </w:r>
      <w:r>
        <w:rPr>
          <w:rFonts w:eastAsiaTheme="minorEastAsia"/>
        </w:rPr>
        <w:t>p</w:t>
      </w:r>
      <w:r>
        <w:rPr>
          <w:rFonts w:eastAsiaTheme="minorEastAsia"/>
          <w:spacing w:val="3"/>
        </w:rPr>
        <w:t>t</w:t>
      </w:r>
      <w:r>
        <w:rPr>
          <w:rFonts w:eastAsiaTheme="minorEastAsia"/>
        </w:rPr>
        <w:t>y</w:t>
      </w:r>
      <w:r>
        <w:rPr>
          <w:rFonts w:eastAsiaTheme="minorEastAsia"/>
          <w:spacing w:val="32"/>
        </w:rPr>
        <w:t xml:space="preserve"> </w:t>
      </w:r>
      <w:r>
        <w:rPr>
          <w:rFonts w:eastAsiaTheme="minorEastAsia"/>
          <w:spacing w:val="3"/>
        </w:rPr>
        <w:t>b</w:t>
      </w:r>
      <w:r>
        <w:rPr>
          <w:rFonts w:eastAsiaTheme="minorEastAsia"/>
          <w:spacing w:val="-1"/>
        </w:rPr>
        <w:t>ar</w:t>
      </w:r>
      <w:r>
        <w:rPr>
          <w:rFonts w:eastAsiaTheme="minorEastAsia"/>
          <w:spacing w:val="2"/>
        </w:rPr>
        <w:t>r</w:t>
      </w:r>
      <w:r>
        <w:rPr>
          <w:rFonts w:eastAsiaTheme="minorEastAsia"/>
          <w:spacing w:val="-1"/>
        </w:rPr>
        <w:t>e</w:t>
      </w:r>
      <w:r>
        <w:rPr>
          <w:rFonts w:eastAsiaTheme="minorEastAsia"/>
          <w:spacing w:val="1"/>
        </w:rPr>
        <w:t>l</w:t>
      </w:r>
      <w:r>
        <w:rPr>
          <w:rFonts w:eastAsiaTheme="minorEastAsia"/>
        </w:rPr>
        <w:t>s,</w:t>
      </w:r>
      <w:r>
        <w:rPr>
          <w:rFonts w:eastAsiaTheme="minorEastAsia"/>
          <w:spacing w:val="39"/>
        </w:rPr>
        <w:t xml:space="preserve"> </w:t>
      </w:r>
      <w:r>
        <w:rPr>
          <w:rFonts w:eastAsiaTheme="minorEastAsia"/>
        </w:rPr>
        <w:t>but</w:t>
      </w:r>
      <w:r>
        <w:rPr>
          <w:rFonts w:eastAsiaTheme="minorEastAsia"/>
          <w:spacing w:val="43"/>
        </w:rPr>
        <w:t xml:space="preserve"> </w:t>
      </w:r>
      <w:r>
        <w:rPr>
          <w:rFonts w:eastAsiaTheme="minorEastAsia"/>
          <w:spacing w:val="1"/>
        </w:rPr>
        <w:t>im</w:t>
      </w:r>
      <w:r>
        <w:rPr>
          <w:rFonts w:eastAsiaTheme="minorEastAsia"/>
        </w:rPr>
        <w:t>pos</w:t>
      </w:r>
      <w:r>
        <w:rPr>
          <w:rFonts w:eastAsiaTheme="minorEastAsia"/>
          <w:spacing w:val="-1"/>
        </w:rPr>
        <w:t>e</w:t>
      </w:r>
      <w:r>
        <w:rPr>
          <w:rFonts w:eastAsiaTheme="minorEastAsia"/>
        </w:rPr>
        <w:t>s</w:t>
      </w:r>
      <w:r>
        <w:rPr>
          <w:rFonts w:eastAsiaTheme="minorEastAsia"/>
          <w:spacing w:val="38"/>
        </w:rPr>
        <w:t xml:space="preserve"> </w:t>
      </w:r>
      <w:r>
        <w:rPr>
          <w:rFonts w:eastAsiaTheme="minorEastAsia"/>
        </w:rPr>
        <w:t>no</w:t>
      </w:r>
      <w:r>
        <w:rPr>
          <w:rFonts w:eastAsiaTheme="minorEastAsia"/>
          <w:spacing w:val="44"/>
        </w:rPr>
        <w:t xml:space="preserve"> </w:t>
      </w:r>
      <w:r>
        <w:rPr>
          <w:rFonts w:eastAsiaTheme="minorEastAsia"/>
          <w:spacing w:val="-1"/>
        </w:rPr>
        <w:t>re</w:t>
      </w:r>
      <w:r>
        <w:rPr>
          <w:rFonts w:eastAsiaTheme="minorEastAsia"/>
        </w:rPr>
        <w:t>qu</w:t>
      </w:r>
      <w:r>
        <w:rPr>
          <w:rFonts w:eastAsiaTheme="minorEastAsia"/>
          <w:spacing w:val="1"/>
        </w:rPr>
        <w:t>i</w:t>
      </w:r>
      <w:r>
        <w:rPr>
          <w:rFonts w:eastAsiaTheme="minorEastAsia"/>
          <w:spacing w:val="-1"/>
        </w:rPr>
        <w:t>re</w:t>
      </w:r>
      <w:r>
        <w:rPr>
          <w:rFonts w:eastAsiaTheme="minorEastAsia"/>
          <w:spacing w:val="1"/>
        </w:rPr>
        <w:t>m</w:t>
      </w:r>
      <w:r>
        <w:rPr>
          <w:rFonts w:eastAsiaTheme="minorEastAsia"/>
          <w:spacing w:val="-1"/>
        </w:rPr>
        <w:t>e</w:t>
      </w:r>
      <w:r>
        <w:rPr>
          <w:rFonts w:eastAsiaTheme="minorEastAsia"/>
        </w:rPr>
        <w:t>nt</w:t>
      </w:r>
      <w:r>
        <w:rPr>
          <w:rFonts w:eastAsiaTheme="minorEastAsia"/>
          <w:spacing w:val="34"/>
        </w:rPr>
        <w:t xml:space="preserve"> </w:t>
      </w:r>
      <w:r>
        <w:rPr>
          <w:rFonts w:eastAsiaTheme="minorEastAsia"/>
          <w:spacing w:val="1"/>
        </w:rPr>
        <w:t>t</w:t>
      </w:r>
      <w:r>
        <w:rPr>
          <w:rFonts w:eastAsiaTheme="minorEastAsia"/>
        </w:rPr>
        <w:t xml:space="preserve">o </w:t>
      </w:r>
      <w:r>
        <w:rPr>
          <w:rFonts w:eastAsiaTheme="minorEastAsia"/>
          <w:spacing w:val="-1"/>
        </w:rPr>
        <w:t>ca</w:t>
      </w:r>
      <w:r>
        <w:rPr>
          <w:rFonts w:eastAsiaTheme="minorEastAsia"/>
        </w:rPr>
        <w:t>p</w:t>
      </w:r>
      <w:r>
        <w:rPr>
          <w:rFonts w:eastAsiaTheme="minorEastAsia"/>
          <w:spacing w:val="1"/>
        </w:rPr>
        <w:t>t</w:t>
      </w:r>
      <w:r>
        <w:rPr>
          <w:rFonts w:eastAsiaTheme="minorEastAsia"/>
        </w:rPr>
        <w:t>u</w:t>
      </w:r>
      <w:r>
        <w:rPr>
          <w:rFonts w:eastAsiaTheme="minorEastAsia"/>
          <w:spacing w:val="-1"/>
        </w:rPr>
        <w:t>r</w:t>
      </w:r>
      <w:r>
        <w:rPr>
          <w:rFonts w:eastAsiaTheme="minorEastAsia"/>
        </w:rPr>
        <w:t>e</w:t>
      </w:r>
      <w:r>
        <w:rPr>
          <w:rFonts w:eastAsiaTheme="minorEastAsia"/>
          <w:spacing w:val="14"/>
        </w:rPr>
        <w:t xml:space="preserve"> </w:t>
      </w:r>
      <w:r>
        <w:rPr>
          <w:rFonts w:eastAsiaTheme="minorEastAsia"/>
          <w:spacing w:val="-1"/>
        </w:rPr>
        <w:t>a</w:t>
      </w:r>
      <w:r>
        <w:rPr>
          <w:rFonts w:eastAsiaTheme="minorEastAsia"/>
        </w:rPr>
        <w:t>nd</w:t>
      </w:r>
      <w:r>
        <w:rPr>
          <w:rFonts w:eastAsiaTheme="minorEastAsia"/>
          <w:spacing w:val="19"/>
        </w:rPr>
        <w:t xml:space="preserve"> </w:t>
      </w:r>
      <w:r>
        <w:rPr>
          <w:rFonts w:eastAsiaTheme="minorEastAsia"/>
          <w:spacing w:val="-1"/>
        </w:rPr>
        <w:t>c</w:t>
      </w:r>
      <w:r>
        <w:rPr>
          <w:rFonts w:eastAsiaTheme="minorEastAsia"/>
        </w:rPr>
        <w:t>on</w:t>
      </w:r>
      <w:r>
        <w:rPr>
          <w:rFonts w:eastAsiaTheme="minorEastAsia"/>
          <w:spacing w:val="1"/>
        </w:rPr>
        <w:t>t</w:t>
      </w:r>
      <w:r>
        <w:rPr>
          <w:rFonts w:eastAsiaTheme="minorEastAsia"/>
          <w:spacing w:val="-1"/>
        </w:rPr>
        <w:t>r</w:t>
      </w:r>
      <w:r>
        <w:rPr>
          <w:rFonts w:eastAsiaTheme="minorEastAsia"/>
        </w:rPr>
        <w:t>ol</w:t>
      </w:r>
      <w:r>
        <w:rPr>
          <w:rFonts w:eastAsiaTheme="minorEastAsia"/>
          <w:spacing w:val="15"/>
        </w:rPr>
        <w:t xml:space="preserve"> </w:t>
      </w:r>
      <w:r>
        <w:rPr>
          <w:rFonts w:eastAsiaTheme="minorEastAsia"/>
          <w:spacing w:val="-1"/>
        </w:rPr>
        <w:t>e</w:t>
      </w:r>
      <w:r>
        <w:rPr>
          <w:rFonts w:eastAsiaTheme="minorEastAsia"/>
          <w:spacing w:val="1"/>
        </w:rPr>
        <w:t>mi</w:t>
      </w:r>
      <w:r>
        <w:rPr>
          <w:rFonts w:eastAsiaTheme="minorEastAsia"/>
          <w:spacing w:val="3"/>
        </w:rPr>
        <w:t>s</w:t>
      </w:r>
      <w:r>
        <w:rPr>
          <w:rFonts w:eastAsiaTheme="minorEastAsia"/>
        </w:rPr>
        <w:t>s</w:t>
      </w:r>
      <w:r>
        <w:rPr>
          <w:rFonts w:eastAsiaTheme="minorEastAsia"/>
          <w:spacing w:val="1"/>
        </w:rPr>
        <w:t>i</w:t>
      </w:r>
      <w:r>
        <w:rPr>
          <w:rFonts w:eastAsiaTheme="minorEastAsia"/>
        </w:rPr>
        <w:t>ons</w:t>
      </w:r>
      <w:r>
        <w:rPr>
          <w:rFonts w:eastAsiaTheme="minorEastAsia"/>
          <w:spacing w:val="13"/>
        </w:rPr>
        <w:t xml:space="preserve"> </w:t>
      </w:r>
      <w:r>
        <w:rPr>
          <w:rFonts w:eastAsiaTheme="minorEastAsia"/>
          <w:spacing w:val="-1"/>
        </w:rPr>
        <w:t>fr</w:t>
      </w:r>
      <w:r>
        <w:rPr>
          <w:rFonts w:eastAsiaTheme="minorEastAsia"/>
        </w:rPr>
        <w:t>om</w:t>
      </w:r>
      <w:r>
        <w:rPr>
          <w:rFonts w:eastAsiaTheme="minorEastAsia"/>
          <w:spacing w:val="18"/>
        </w:rPr>
        <w:t xml:space="preserve"> </w:t>
      </w:r>
      <w:r>
        <w:rPr>
          <w:rFonts w:eastAsiaTheme="minorEastAsia"/>
          <w:spacing w:val="-1"/>
        </w:rPr>
        <w:t>a</w:t>
      </w:r>
      <w:r>
        <w:rPr>
          <w:rFonts w:eastAsiaTheme="minorEastAsia"/>
          <w:spacing w:val="-2"/>
        </w:rPr>
        <w:t>g</w:t>
      </w:r>
      <w:r>
        <w:rPr>
          <w:rFonts w:eastAsiaTheme="minorEastAsia"/>
          <w:spacing w:val="1"/>
        </w:rPr>
        <w:t>i</w:t>
      </w:r>
      <w:r>
        <w:rPr>
          <w:rFonts w:eastAsiaTheme="minorEastAsia"/>
        </w:rPr>
        <w:t>ng</w:t>
      </w:r>
      <w:r>
        <w:rPr>
          <w:rFonts w:eastAsiaTheme="minorEastAsia"/>
          <w:spacing w:val="14"/>
        </w:rPr>
        <w:t xml:space="preserve"> </w:t>
      </w:r>
      <w:r>
        <w:rPr>
          <w:rFonts w:eastAsiaTheme="minorEastAsia"/>
          <w:spacing w:val="2"/>
        </w:rPr>
        <w:t>w</w:t>
      </w:r>
      <w:r>
        <w:rPr>
          <w:rFonts w:eastAsiaTheme="minorEastAsia"/>
          <w:spacing w:val="-1"/>
        </w:rPr>
        <w:t>are</w:t>
      </w:r>
      <w:r>
        <w:rPr>
          <w:rFonts w:eastAsiaTheme="minorEastAsia"/>
        </w:rPr>
        <w:t>h</w:t>
      </w:r>
      <w:r>
        <w:rPr>
          <w:rFonts w:eastAsiaTheme="minorEastAsia"/>
          <w:spacing w:val="3"/>
        </w:rPr>
        <w:t>o</w:t>
      </w:r>
      <w:r>
        <w:rPr>
          <w:rFonts w:eastAsiaTheme="minorEastAsia"/>
        </w:rPr>
        <w:t>us</w:t>
      </w:r>
      <w:r>
        <w:rPr>
          <w:rFonts w:eastAsiaTheme="minorEastAsia"/>
          <w:spacing w:val="-1"/>
        </w:rPr>
        <w:t>e</w:t>
      </w:r>
      <w:r>
        <w:rPr>
          <w:rFonts w:eastAsiaTheme="minorEastAsia"/>
        </w:rPr>
        <w:t xml:space="preserve">s. </w:t>
      </w:r>
      <w:r>
        <w:rPr>
          <w:rFonts w:eastAsiaTheme="minorEastAsia"/>
          <w:spacing w:val="34"/>
        </w:rPr>
        <w:t xml:space="preserve"> </w:t>
      </w:r>
      <w:r>
        <w:rPr>
          <w:rFonts w:eastAsiaTheme="minorEastAsia"/>
          <w:spacing w:val="-5"/>
        </w:rPr>
        <w:t>I</w:t>
      </w:r>
      <w:r>
        <w:rPr>
          <w:rFonts w:eastAsiaTheme="minorEastAsia"/>
        </w:rPr>
        <w:t>n</w:t>
      </w:r>
      <w:r>
        <w:rPr>
          <w:rFonts w:eastAsiaTheme="minorEastAsia"/>
          <w:spacing w:val="20"/>
        </w:rPr>
        <w:t xml:space="preserve"> </w:t>
      </w:r>
      <w:r>
        <w:rPr>
          <w:rFonts w:eastAsiaTheme="minorEastAsia"/>
          <w:spacing w:val="1"/>
        </w:rPr>
        <w:t>it</w:t>
      </w:r>
      <w:r>
        <w:rPr>
          <w:rFonts w:eastAsiaTheme="minorEastAsia"/>
        </w:rPr>
        <w:t>s</w:t>
      </w:r>
      <w:r>
        <w:rPr>
          <w:rFonts w:eastAsiaTheme="minorEastAsia"/>
          <w:spacing w:val="20"/>
        </w:rPr>
        <w:t xml:space="preserve"> </w:t>
      </w:r>
      <w:r>
        <w:rPr>
          <w:rFonts w:eastAsiaTheme="minorEastAsia"/>
          <w:spacing w:val="-1"/>
        </w:rPr>
        <w:t>Fe</w:t>
      </w:r>
      <w:r>
        <w:rPr>
          <w:rFonts w:eastAsiaTheme="minorEastAsia"/>
        </w:rPr>
        <w:t>d</w:t>
      </w:r>
      <w:r>
        <w:rPr>
          <w:rFonts w:eastAsiaTheme="minorEastAsia"/>
          <w:spacing w:val="-1"/>
        </w:rPr>
        <w:t>e</w:t>
      </w:r>
      <w:r>
        <w:rPr>
          <w:rFonts w:eastAsiaTheme="minorEastAsia"/>
          <w:spacing w:val="2"/>
        </w:rPr>
        <w:t>r</w:t>
      </w:r>
      <w:r>
        <w:rPr>
          <w:rFonts w:eastAsiaTheme="minorEastAsia"/>
          <w:spacing w:val="-1"/>
        </w:rPr>
        <w:t>a</w:t>
      </w:r>
      <w:r>
        <w:rPr>
          <w:rFonts w:eastAsiaTheme="minorEastAsia"/>
        </w:rPr>
        <w:t>l</w:t>
      </w:r>
      <w:r>
        <w:rPr>
          <w:rFonts w:eastAsiaTheme="minorEastAsia"/>
          <w:spacing w:val="15"/>
        </w:rPr>
        <w:t xml:space="preserve"> </w:t>
      </w:r>
      <w:r>
        <w:rPr>
          <w:rFonts w:eastAsiaTheme="minorEastAsia"/>
          <w:spacing w:val="1"/>
        </w:rPr>
        <w:t>R</w:t>
      </w:r>
      <w:r>
        <w:rPr>
          <w:rFonts w:eastAsiaTheme="minorEastAsia"/>
          <w:spacing w:val="-1"/>
        </w:rPr>
        <w:t>e</w:t>
      </w:r>
      <w:r>
        <w:rPr>
          <w:rFonts w:eastAsiaTheme="minorEastAsia"/>
        </w:rPr>
        <w:t>g</w:t>
      </w:r>
      <w:r>
        <w:rPr>
          <w:rFonts w:eastAsiaTheme="minorEastAsia"/>
          <w:spacing w:val="1"/>
        </w:rPr>
        <w:t>i</w:t>
      </w:r>
      <w:r>
        <w:rPr>
          <w:rFonts w:eastAsiaTheme="minorEastAsia"/>
        </w:rPr>
        <w:t>s</w:t>
      </w:r>
      <w:r>
        <w:rPr>
          <w:rFonts w:eastAsiaTheme="minorEastAsia"/>
          <w:spacing w:val="1"/>
        </w:rPr>
        <w:t>t</w:t>
      </w:r>
      <w:r>
        <w:rPr>
          <w:rFonts w:eastAsiaTheme="minorEastAsia"/>
          <w:spacing w:val="-1"/>
        </w:rPr>
        <w:t>e</w:t>
      </w:r>
      <w:r>
        <w:rPr>
          <w:rFonts w:eastAsiaTheme="minorEastAsia"/>
        </w:rPr>
        <w:t>r</w:t>
      </w:r>
      <w:r>
        <w:rPr>
          <w:rFonts w:eastAsiaTheme="minorEastAsia"/>
          <w:spacing w:val="13"/>
        </w:rPr>
        <w:t xml:space="preserve"> </w:t>
      </w:r>
      <w:r>
        <w:rPr>
          <w:rFonts w:eastAsiaTheme="minorEastAsia"/>
        </w:rPr>
        <w:t>no</w:t>
      </w:r>
      <w:r>
        <w:rPr>
          <w:rFonts w:eastAsiaTheme="minorEastAsia"/>
          <w:spacing w:val="1"/>
        </w:rPr>
        <w:t>ti</w:t>
      </w:r>
      <w:r>
        <w:rPr>
          <w:rFonts w:eastAsiaTheme="minorEastAsia"/>
          <w:spacing w:val="-1"/>
        </w:rPr>
        <w:t>c</w:t>
      </w:r>
      <w:r>
        <w:rPr>
          <w:rFonts w:eastAsiaTheme="minorEastAsia"/>
        </w:rPr>
        <w:t>e</w:t>
      </w:r>
      <w:r>
        <w:rPr>
          <w:rFonts w:eastAsiaTheme="minorEastAsia"/>
          <w:spacing w:val="15"/>
        </w:rPr>
        <w:t xml:space="preserve"> </w:t>
      </w:r>
      <w:r>
        <w:rPr>
          <w:rFonts w:eastAsiaTheme="minorEastAsia"/>
          <w:spacing w:val="-1"/>
        </w:rPr>
        <w:t>acce</w:t>
      </w:r>
      <w:r>
        <w:rPr>
          <w:rFonts w:eastAsiaTheme="minorEastAsia"/>
        </w:rPr>
        <w:t>p</w:t>
      </w:r>
      <w:r>
        <w:rPr>
          <w:rFonts w:eastAsiaTheme="minorEastAsia"/>
          <w:spacing w:val="1"/>
        </w:rPr>
        <w:t>ti</w:t>
      </w:r>
      <w:r>
        <w:rPr>
          <w:rFonts w:eastAsiaTheme="minorEastAsia"/>
          <w:spacing w:val="3"/>
        </w:rPr>
        <w:t>n</w:t>
      </w:r>
      <w:r>
        <w:rPr>
          <w:rFonts w:eastAsiaTheme="minorEastAsia"/>
        </w:rPr>
        <w:t xml:space="preserve">g </w:t>
      </w:r>
      <w:r>
        <w:rPr>
          <w:rFonts w:eastAsiaTheme="minorEastAsia"/>
          <w:spacing w:val="1"/>
        </w:rPr>
        <w:t>t</w:t>
      </w:r>
      <w:r>
        <w:rPr>
          <w:rFonts w:eastAsiaTheme="minorEastAsia"/>
        </w:rPr>
        <w:t>h</w:t>
      </w:r>
      <w:r>
        <w:rPr>
          <w:rFonts w:eastAsiaTheme="minorEastAsia"/>
          <w:spacing w:val="1"/>
        </w:rPr>
        <w:t>i</w:t>
      </w:r>
      <w:r>
        <w:rPr>
          <w:rFonts w:eastAsiaTheme="minorEastAsia"/>
        </w:rPr>
        <w:t>s</w:t>
      </w:r>
      <w:r>
        <w:rPr>
          <w:rFonts w:eastAsiaTheme="minorEastAsia"/>
          <w:spacing w:val="-3"/>
        </w:rPr>
        <w:t xml:space="preserve"> </w:t>
      </w:r>
      <w:r>
        <w:rPr>
          <w:rFonts w:eastAsiaTheme="minorEastAsia"/>
          <w:spacing w:val="-1"/>
        </w:rPr>
        <w:t>re</w:t>
      </w:r>
      <w:r>
        <w:rPr>
          <w:rFonts w:eastAsiaTheme="minorEastAsia"/>
          <w:spacing w:val="-2"/>
        </w:rPr>
        <w:t>g</w:t>
      </w:r>
      <w:r>
        <w:rPr>
          <w:rFonts w:eastAsiaTheme="minorEastAsia"/>
        </w:rPr>
        <w:t>u</w:t>
      </w:r>
      <w:r>
        <w:rPr>
          <w:rFonts w:eastAsiaTheme="minorEastAsia"/>
          <w:spacing w:val="1"/>
        </w:rPr>
        <w:t>l</w:t>
      </w:r>
      <w:r>
        <w:rPr>
          <w:rFonts w:eastAsiaTheme="minorEastAsia"/>
          <w:spacing w:val="-1"/>
        </w:rPr>
        <w:t>a</w:t>
      </w:r>
      <w:r>
        <w:rPr>
          <w:rFonts w:eastAsiaTheme="minorEastAsia"/>
          <w:spacing w:val="1"/>
        </w:rPr>
        <w:t>ti</w:t>
      </w:r>
      <w:r>
        <w:rPr>
          <w:rFonts w:eastAsiaTheme="minorEastAsia"/>
        </w:rPr>
        <w:t>on</w:t>
      </w:r>
      <w:r>
        <w:rPr>
          <w:rFonts w:eastAsiaTheme="minorEastAsia"/>
          <w:spacing w:val="-10"/>
        </w:rPr>
        <w:t xml:space="preserve"> </w:t>
      </w:r>
      <w:r>
        <w:rPr>
          <w:rFonts w:eastAsiaTheme="minorEastAsia"/>
          <w:spacing w:val="-1"/>
        </w:rPr>
        <w:t>a</w:t>
      </w:r>
      <w:r>
        <w:rPr>
          <w:rFonts w:eastAsiaTheme="minorEastAsia"/>
        </w:rPr>
        <w:t>s</w:t>
      </w:r>
      <w:r>
        <w:rPr>
          <w:rFonts w:eastAsiaTheme="minorEastAsia"/>
          <w:spacing w:val="1"/>
        </w:rPr>
        <w:t xml:space="preserve"> </w:t>
      </w:r>
      <w:r>
        <w:rPr>
          <w:rFonts w:eastAsiaTheme="minorEastAsia"/>
        </w:rPr>
        <w:t>a</w:t>
      </w:r>
      <w:r>
        <w:rPr>
          <w:rFonts w:eastAsiaTheme="minorEastAsia"/>
          <w:spacing w:val="-2"/>
        </w:rPr>
        <w:t xml:space="preserve"> </w:t>
      </w:r>
      <w:r>
        <w:rPr>
          <w:rFonts w:eastAsiaTheme="minorEastAsia"/>
          <w:spacing w:val="4"/>
        </w:rPr>
        <w:t>S</w:t>
      </w:r>
      <w:r>
        <w:rPr>
          <w:rFonts w:eastAsiaTheme="minorEastAsia"/>
          <w:spacing w:val="-5"/>
        </w:rPr>
        <w:t>I</w:t>
      </w:r>
      <w:r>
        <w:rPr>
          <w:rFonts w:eastAsiaTheme="minorEastAsia"/>
        </w:rPr>
        <w:t>P</w:t>
      </w:r>
      <w:r>
        <w:rPr>
          <w:rFonts w:eastAsiaTheme="minorEastAsia"/>
          <w:spacing w:val="1"/>
        </w:rPr>
        <w:t xml:space="preserve"> </w:t>
      </w:r>
      <w:r>
        <w:rPr>
          <w:rFonts w:eastAsiaTheme="minorEastAsia"/>
          <w:spacing w:val="2"/>
        </w:rPr>
        <w:t>a</w:t>
      </w:r>
      <w:r>
        <w:rPr>
          <w:rFonts w:eastAsiaTheme="minorEastAsia"/>
          <w:spacing w:val="1"/>
        </w:rPr>
        <w:t>m</w:t>
      </w:r>
      <w:r>
        <w:rPr>
          <w:rFonts w:eastAsiaTheme="minorEastAsia"/>
          <w:spacing w:val="-1"/>
        </w:rPr>
        <w:t>e</w:t>
      </w:r>
      <w:r>
        <w:rPr>
          <w:rFonts w:eastAsiaTheme="minorEastAsia"/>
        </w:rPr>
        <w:t>nd</w:t>
      </w:r>
      <w:r>
        <w:rPr>
          <w:rFonts w:eastAsiaTheme="minorEastAsia"/>
          <w:spacing w:val="1"/>
        </w:rPr>
        <w:t>m</w:t>
      </w:r>
      <w:r>
        <w:rPr>
          <w:rFonts w:eastAsiaTheme="minorEastAsia"/>
          <w:spacing w:val="-1"/>
        </w:rPr>
        <w:t>e</w:t>
      </w:r>
      <w:r>
        <w:rPr>
          <w:rFonts w:eastAsiaTheme="minorEastAsia"/>
        </w:rPr>
        <w:t>nt,</w:t>
      </w:r>
      <w:r>
        <w:rPr>
          <w:rFonts w:eastAsiaTheme="minorEastAsia"/>
          <w:spacing w:val="-10"/>
        </w:rPr>
        <w:t xml:space="preserve"> </w:t>
      </w:r>
      <w:r>
        <w:rPr>
          <w:rFonts w:eastAsiaTheme="minorEastAsia"/>
        </w:rPr>
        <w:t>E</w:t>
      </w:r>
      <w:r>
        <w:rPr>
          <w:rFonts w:eastAsiaTheme="minorEastAsia"/>
          <w:spacing w:val="1"/>
        </w:rPr>
        <w:t>P</w:t>
      </w:r>
      <w:r>
        <w:rPr>
          <w:rFonts w:eastAsiaTheme="minorEastAsia"/>
        </w:rPr>
        <w:t>A</w:t>
      </w:r>
      <w:r>
        <w:rPr>
          <w:rFonts w:eastAsiaTheme="minorEastAsia"/>
          <w:spacing w:val="-5"/>
        </w:rPr>
        <w:t xml:space="preserve"> </w:t>
      </w:r>
      <w:r>
        <w:rPr>
          <w:rFonts w:eastAsiaTheme="minorEastAsia"/>
        </w:rPr>
        <w:t>s</w:t>
      </w:r>
      <w:r>
        <w:rPr>
          <w:rFonts w:eastAsiaTheme="minorEastAsia"/>
          <w:spacing w:val="1"/>
        </w:rPr>
        <w:t>t</w:t>
      </w:r>
      <w:r>
        <w:rPr>
          <w:rFonts w:eastAsiaTheme="minorEastAsia"/>
          <w:spacing w:val="-1"/>
        </w:rPr>
        <w:t>a</w:t>
      </w:r>
      <w:r>
        <w:rPr>
          <w:rFonts w:eastAsiaTheme="minorEastAsia"/>
          <w:spacing w:val="1"/>
        </w:rPr>
        <w:t>t</w:t>
      </w:r>
      <w:r>
        <w:rPr>
          <w:rFonts w:eastAsiaTheme="minorEastAsia"/>
          <w:spacing w:val="2"/>
        </w:rPr>
        <w:t>e</w:t>
      </w:r>
      <w:r>
        <w:rPr>
          <w:rFonts w:eastAsiaTheme="minorEastAsia"/>
        </w:rPr>
        <w:t>d</w:t>
      </w:r>
      <w:r>
        <w:rPr>
          <w:rFonts w:ascii="Times New Roman" w:eastAsiaTheme="minorEastAsia" w:hAnsi="Times New Roman" w:cs="Times New Roman"/>
        </w:rPr>
        <w:t>:</w:t>
      </w:r>
    </w:p>
    <w:p w:rsidR="00487786" w:rsidRDefault="009C73ED">
      <w:pPr>
        <w:autoSpaceDE w:val="0"/>
        <w:autoSpaceDN w:val="0"/>
        <w:adjustRightInd w:val="0"/>
        <w:spacing w:line="258" w:lineRule="exact"/>
        <w:ind w:left="720" w:right="720"/>
        <w:rPr>
          <w:rFonts w:eastAsiaTheme="minorEastAsia"/>
        </w:rPr>
      </w:pPr>
      <w:r>
        <w:rPr>
          <w:rFonts w:eastAsiaTheme="minorEastAsia"/>
        </w:rPr>
        <w:t>N</w:t>
      </w:r>
      <w:r>
        <w:rPr>
          <w:rFonts w:eastAsiaTheme="minorEastAsia"/>
          <w:spacing w:val="-1"/>
        </w:rPr>
        <w:t>e</w:t>
      </w:r>
      <w:r>
        <w:rPr>
          <w:rFonts w:eastAsiaTheme="minorEastAsia"/>
          <w:spacing w:val="1"/>
        </w:rPr>
        <w:t>it</w:t>
      </w:r>
      <w:r>
        <w:rPr>
          <w:rFonts w:eastAsiaTheme="minorEastAsia"/>
        </w:rPr>
        <w:t>h</w:t>
      </w:r>
      <w:r>
        <w:rPr>
          <w:rFonts w:eastAsiaTheme="minorEastAsia"/>
          <w:spacing w:val="-1"/>
        </w:rPr>
        <w:t>e</w:t>
      </w:r>
      <w:r>
        <w:rPr>
          <w:rFonts w:eastAsiaTheme="minorEastAsia"/>
        </w:rPr>
        <w:t>r</w:t>
      </w:r>
      <w:r>
        <w:rPr>
          <w:rFonts w:eastAsiaTheme="minorEastAsia"/>
          <w:spacing w:val="7"/>
        </w:rPr>
        <w:t xml:space="preserve"> </w:t>
      </w:r>
      <w:r>
        <w:rPr>
          <w:rFonts w:eastAsiaTheme="minorEastAsia"/>
          <w:spacing w:val="1"/>
        </w:rPr>
        <w:t>t</w:t>
      </w:r>
      <w:r>
        <w:rPr>
          <w:rFonts w:eastAsiaTheme="minorEastAsia"/>
        </w:rPr>
        <w:t>he</w:t>
      </w:r>
      <w:r>
        <w:rPr>
          <w:rFonts w:eastAsiaTheme="minorEastAsia"/>
          <w:spacing w:val="11"/>
        </w:rPr>
        <w:t xml:space="preserve"> </w:t>
      </w:r>
      <w:r>
        <w:rPr>
          <w:rFonts w:eastAsiaTheme="minorEastAsia"/>
        </w:rPr>
        <w:t>p</w:t>
      </w:r>
      <w:r>
        <w:rPr>
          <w:rFonts w:eastAsiaTheme="minorEastAsia"/>
          <w:spacing w:val="-1"/>
        </w:rPr>
        <w:t>r</w:t>
      </w:r>
      <w:r>
        <w:rPr>
          <w:rFonts w:eastAsiaTheme="minorEastAsia"/>
        </w:rPr>
        <w:t>opo</w:t>
      </w:r>
      <w:r>
        <w:rPr>
          <w:rFonts w:eastAsiaTheme="minorEastAsia"/>
          <w:spacing w:val="3"/>
        </w:rPr>
        <w:t>s</w:t>
      </w:r>
      <w:r>
        <w:rPr>
          <w:rFonts w:eastAsiaTheme="minorEastAsia"/>
          <w:spacing w:val="-1"/>
        </w:rPr>
        <w:t>e</w:t>
      </w:r>
      <w:r>
        <w:rPr>
          <w:rFonts w:eastAsiaTheme="minorEastAsia"/>
        </w:rPr>
        <w:t>d</w:t>
      </w:r>
      <w:r>
        <w:rPr>
          <w:rFonts w:eastAsiaTheme="minorEastAsia"/>
          <w:spacing w:val="6"/>
        </w:rPr>
        <w:t xml:space="preserve"> </w:t>
      </w:r>
      <w:r>
        <w:rPr>
          <w:rFonts w:eastAsiaTheme="minorEastAsia"/>
        </w:rPr>
        <w:t>nor</w:t>
      </w:r>
      <w:r>
        <w:rPr>
          <w:rFonts w:eastAsiaTheme="minorEastAsia"/>
          <w:spacing w:val="13"/>
        </w:rPr>
        <w:t xml:space="preserve"> </w:t>
      </w:r>
      <w:r>
        <w:rPr>
          <w:rFonts w:eastAsiaTheme="minorEastAsia"/>
          <w:spacing w:val="-1"/>
        </w:rPr>
        <w:t>a</w:t>
      </w:r>
      <w:r>
        <w:rPr>
          <w:rFonts w:eastAsiaTheme="minorEastAsia"/>
        </w:rPr>
        <w:t>dop</w:t>
      </w:r>
      <w:r>
        <w:rPr>
          <w:rFonts w:eastAsiaTheme="minorEastAsia"/>
          <w:spacing w:val="1"/>
        </w:rPr>
        <w:t>t</w:t>
      </w:r>
      <w:r>
        <w:rPr>
          <w:rFonts w:eastAsiaTheme="minorEastAsia"/>
          <w:spacing w:val="-1"/>
        </w:rPr>
        <w:t>e</w:t>
      </w:r>
      <w:r>
        <w:rPr>
          <w:rFonts w:eastAsiaTheme="minorEastAsia"/>
        </w:rPr>
        <w:t>d</w:t>
      </w:r>
      <w:r>
        <w:rPr>
          <w:rFonts w:eastAsiaTheme="minorEastAsia"/>
          <w:spacing w:val="7"/>
        </w:rPr>
        <w:t xml:space="preserve"> </w:t>
      </w:r>
      <w:r>
        <w:rPr>
          <w:rFonts w:eastAsiaTheme="minorEastAsia"/>
        </w:rPr>
        <w:t>v</w:t>
      </w:r>
      <w:r>
        <w:rPr>
          <w:rFonts w:eastAsiaTheme="minorEastAsia"/>
          <w:spacing w:val="-1"/>
        </w:rPr>
        <w:t>er</w:t>
      </w:r>
      <w:r>
        <w:rPr>
          <w:rFonts w:eastAsiaTheme="minorEastAsia"/>
        </w:rPr>
        <w:t>s</w:t>
      </w:r>
      <w:r>
        <w:rPr>
          <w:rFonts w:eastAsiaTheme="minorEastAsia"/>
          <w:spacing w:val="1"/>
        </w:rPr>
        <w:t>i</w:t>
      </w:r>
      <w:r>
        <w:rPr>
          <w:rFonts w:eastAsiaTheme="minorEastAsia"/>
        </w:rPr>
        <w:t>on</w:t>
      </w:r>
      <w:r>
        <w:rPr>
          <w:rFonts w:eastAsiaTheme="minorEastAsia"/>
          <w:spacing w:val="8"/>
        </w:rPr>
        <w:t xml:space="preserve"> </w:t>
      </w:r>
      <w:r>
        <w:rPr>
          <w:rFonts w:eastAsiaTheme="minorEastAsia"/>
        </w:rPr>
        <w:t>of</w:t>
      </w:r>
      <w:r>
        <w:rPr>
          <w:rFonts w:eastAsiaTheme="minorEastAsia"/>
          <w:spacing w:val="12"/>
        </w:rPr>
        <w:t xml:space="preserve"> </w:t>
      </w:r>
      <w:r>
        <w:rPr>
          <w:rFonts w:eastAsiaTheme="minorEastAsia"/>
          <w:spacing w:val="1"/>
        </w:rPr>
        <w:t>M</w:t>
      </w:r>
      <w:r>
        <w:rPr>
          <w:rFonts w:eastAsiaTheme="minorEastAsia"/>
          <w:spacing w:val="2"/>
        </w:rPr>
        <w:t>ar</w:t>
      </w:r>
      <w:r>
        <w:rPr>
          <w:rFonts w:eastAsiaTheme="minorEastAsia"/>
          <w:spacing w:val="-5"/>
        </w:rPr>
        <w:t>y</w:t>
      </w:r>
      <w:r>
        <w:rPr>
          <w:rFonts w:eastAsiaTheme="minorEastAsia"/>
          <w:spacing w:val="3"/>
        </w:rPr>
        <w:t>l</w:t>
      </w:r>
      <w:r>
        <w:rPr>
          <w:rFonts w:eastAsiaTheme="minorEastAsia"/>
          <w:spacing w:val="-1"/>
        </w:rPr>
        <w:t>a</w:t>
      </w:r>
      <w:r>
        <w:rPr>
          <w:rFonts w:eastAsiaTheme="minorEastAsia"/>
        </w:rPr>
        <w:t>nd</w:t>
      </w:r>
      <w:r>
        <w:rPr>
          <w:rFonts w:eastAsiaTheme="minorEastAsia"/>
          <w:spacing w:val="-1"/>
        </w:rPr>
        <w:t>’</w:t>
      </w:r>
      <w:r>
        <w:rPr>
          <w:rFonts w:eastAsiaTheme="minorEastAsia"/>
        </w:rPr>
        <w:t>s</w:t>
      </w:r>
      <w:r>
        <w:rPr>
          <w:rFonts w:eastAsiaTheme="minorEastAsia"/>
          <w:spacing w:val="4"/>
        </w:rPr>
        <w:t xml:space="preserve"> </w:t>
      </w:r>
      <w:proofErr w:type="spellStart"/>
      <w:r>
        <w:rPr>
          <w:rFonts w:eastAsiaTheme="minorEastAsia"/>
          <w:spacing w:val="1"/>
        </w:rPr>
        <w:t>R</w:t>
      </w:r>
      <w:r>
        <w:rPr>
          <w:rFonts w:eastAsiaTheme="minorEastAsia"/>
        </w:rPr>
        <w:t>A</w:t>
      </w:r>
      <w:r>
        <w:rPr>
          <w:rFonts w:eastAsiaTheme="minorEastAsia"/>
          <w:spacing w:val="1"/>
        </w:rPr>
        <w:t>C</w:t>
      </w:r>
      <w:r>
        <w:rPr>
          <w:rFonts w:eastAsiaTheme="minorEastAsia"/>
        </w:rPr>
        <w:t>T</w:t>
      </w:r>
      <w:proofErr w:type="spellEnd"/>
      <w:r>
        <w:rPr>
          <w:rFonts w:eastAsiaTheme="minorEastAsia"/>
          <w:spacing w:val="9"/>
        </w:rPr>
        <w:t xml:space="preserve"> </w:t>
      </w:r>
      <w:r>
        <w:rPr>
          <w:rFonts w:eastAsiaTheme="minorEastAsia"/>
          <w:spacing w:val="1"/>
        </w:rPr>
        <w:t>t</w:t>
      </w:r>
      <w:r>
        <w:rPr>
          <w:rFonts w:eastAsiaTheme="minorEastAsia"/>
        </w:rPr>
        <w:t xml:space="preserve">o </w:t>
      </w:r>
      <w:r>
        <w:rPr>
          <w:rFonts w:eastAsiaTheme="minorEastAsia"/>
          <w:spacing w:val="-1"/>
        </w:rPr>
        <w:t>c</w:t>
      </w:r>
      <w:r>
        <w:rPr>
          <w:rFonts w:eastAsiaTheme="minorEastAsia"/>
        </w:rPr>
        <w:t>on</w:t>
      </w:r>
      <w:r>
        <w:rPr>
          <w:rFonts w:eastAsiaTheme="minorEastAsia"/>
          <w:spacing w:val="1"/>
        </w:rPr>
        <w:t>t</w:t>
      </w:r>
      <w:r>
        <w:rPr>
          <w:rFonts w:eastAsiaTheme="minorEastAsia"/>
          <w:spacing w:val="-1"/>
        </w:rPr>
        <w:t>r</w:t>
      </w:r>
      <w:r>
        <w:rPr>
          <w:rFonts w:eastAsiaTheme="minorEastAsia"/>
        </w:rPr>
        <w:t>ol</w:t>
      </w:r>
      <w:r>
        <w:rPr>
          <w:rFonts w:eastAsiaTheme="minorEastAsia"/>
          <w:spacing w:val="3"/>
        </w:rPr>
        <w:t xml:space="preserve"> </w:t>
      </w:r>
      <w:proofErr w:type="spellStart"/>
      <w:r>
        <w:rPr>
          <w:rFonts w:eastAsiaTheme="minorEastAsia"/>
        </w:rPr>
        <w:t>VOC</w:t>
      </w:r>
      <w:proofErr w:type="spellEnd"/>
      <w:r>
        <w:rPr>
          <w:rFonts w:eastAsiaTheme="minorEastAsia"/>
          <w:spacing w:val="6"/>
        </w:rPr>
        <w:t xml:space="preserve"> </w:t>
      </w:r>
      <w:r>
        <w:rPr>
          <w:rFonts w:eastAsiaTheme="minorEastAsia"/>
          <w:spacing w:val="-1"/>
        </w:rPr>
        <w:t>e</w:t>
      </w:r>
      <w:r>
        <w:rPr>
          <w:rFonts w:eastAsiaTheme="minorEastAsia"/>
          <w:spacing w:val="1"/>
        </w:rPr>
        <w:t>mi</w:t>
      </w:r>
      <w:r>
        <w:rPr>
          <w:rFonts w:eastAsiaTheme="minorEastAsia"/>
        </w:rPr>
        <w:t>ss</w:t>
      </w:r>
      <w:r>
        <w:rPr>
          <w:rFonts w:eastAsiaTheme="minorEastAsia"/>
          <w:spacing w:val="1"/>
        </w:rPr>
        <w:t>i</w:t>
      </w:r>
      <w:r>
        <w:rPr>
          <w:rFonts w:eastAsiaTheme="minorEastAsia"/>
        </w:rPr>
        <w:t>ons</w:t>
      </w:r>
      <w:r>
        <w:rPr>
          <w:rFonts w:eastAsiaTheme="minorEastAsia"/>
          <w:spacing w:val="1"/>
        </w:rPr>
        <w:t xml:space="preserve"> </w:t>
      </w:r>
      <w:r>
        <w:rPr>
          <w:rFonts w:eastAsiaTheme="minorEastAsia"/>
          <w:spacing w:val="2"/>
        </w:rPr>
        <w:t>f</w:t>
      </w:r>
      <w:r>
        <w:rPr>
          <w:rFonts w:eastAsiaTheme="minorEastAsia"/>
          <w:spacing w:val="-1"/>
        </w:rPr>
        <w:t>r</w:t>
      </w:r>
      <w:r>
        <w:rPr>
          <w:rFonts w:eastAsiaTheme="minorEastAsia"/>
        </w:rPr>
        <w:t>om</w:t>
      </w:r>
      <w:r>
        <w:rPr>
          <w:rFonts w:eastAsiaTheme="minorEastAsia"/>
          <w:spacing w:val="6"/>
        </w:rPr>
        <w:t xml:space="preserve"> </w:t>
      </w:r>
      <w:r>
        <w:rPr>
          <w:rFonts w:eastAsiaTheme="minorEastAsia"/>
        </w:rPr>
        <w:t>d</w:t>
      </w:r>
      <w:r>
        <w:rPr>
          <w:rFonts w:eastAsiaTheme="minorEastAsia"/>
          <w:spacing w:val="1"/>
        </w:rPr>
        <w:t>i</w:t>
      </w:r>
      <w:r>
        <w:rPr>
          <w:rFonts w:eastAsiaTheme="minorEastAsia"/>
        </w:rPr>
        <w:t>s</w:t>
      </w:r>
      <w:r>
        <w:rPr>
          <w:rFonts w:eastAsiaTheme="minorEastAsia"/>
          <w:spacing w:val="1"/>
        </w:rPr>
        <w:t>till</w:t>
      </w:r>
      <w:r>
        <w:rPr>
          <w:rFonts w:eastAsiaTheme="minorEastAsia"/>
          <w:spacing w:val="-1"/>
        </w:rPr>
        <w:t>e</w:t>
      </w:r>
      <w:r>
        <w:rPr>
          <w:rFonts w:eastAsiaTheme="minorEastAsia"/>
        </w:rPr>
        <w:t>d</w:t>
      </w:r>
      <w:r>
        <w:rPr>
          <w:rFonts w:eastAsiaTheme="minorEastAsia"/>
          <w:spacing w:val="2"/>
        </w:rPr>
        <w:t xml:space="preserve"> </w:t>
      </w:r>
      <w:r>
        <w:rPr>
          <w:rFonts w:eastAsiaTheme="minorEastAsia"/>
        </w:rPr>
        <w:t>sp</w:t>
      </w:r>
      <w:r>
        <w:rPr>
          <w:rFonts w:eastAsiaTheme="minorEastAsia"/>
          <w:spacing w:val="1"/>
        </w:rPr>
        <w:t>i</w:t>
      </w:r>
      <w:r>
        <w:rPr>
          <w:rFonts w:eastAsiaTheme="minorEastAsia"/>
          <w:spacing w:val="-1"/>
        </w:rPr>
        <w:t>r</w:t>
      </w:r>
      <w:r>
        <w:rPr>
          <w:rFonts w:eastAsiaTheme="minorEastAsia"/>
          <w:spacing w:val="1"/>
        </w:rPr>
        <w:t>it</w:t>
      </w:r>
      <w:r>
        <w:rPr>
          <w:rFonts w:eastAsiaTheme="minorEastAsia"/>
        </w:rPr>
        <w:t>s</w:t>
      </w:r>
      <w:r>
        <w:rPr>
          <w:rFonts w:eastAsiaTheme="minorEastAsia"/>
          <w:spacing w:val="4"/>
        </w:rPr>
        <w:t xml:space="preserve"> </w:t>
      </w:r>
      <w:r>
        <w:rPr>
          <w:rFonts w:eastAsiaTheme="minorEastAsia"/>
          <w:spacing w:val="-1"/>
        </w:rPr>
        <w:t>fac</w:t>
      </w:r>
      <w:r>
        <w:rPr>
          <w:rFonts w:eastAsiaTheme="minorEastAsia"/>
          <w:spacing w:val="1"/>
        </w:rPr>
        <w:t>il</w:t>
      </w:r>
      <w:r>
        <w:rPr>
          <w:rFonts w:eastAsiaTheme="minorEastAsia"/>
        </w:rPr>
        <w:t>i</w:t>
      </w:r>
      <w:r>
        <w:rPr>
          <w:rFonts w:eastAsiaTheme="minorEastAsia"/>
          <w:spacing w:val="1"/>
        </w:rPr>
        <w:t>ti</w:t>
      </w:r>
      <w:r>
        <w:rPr>
          <w:rFonts w:eastAsiaTheme="minorEastAsia"/>
          <w:spacing w:val="-1"/>
        </w:rPr>
        <w:t>e</w:t>
      </w:r>
      <w:r>
        <w:rPr>
          <w:rFonts w:eastAsiaTheme="minorEastAsia"/>
        </w:rPr>
        <w:t>s</w:t>
      </w:r>
      <w:r>
        <w:rPr>
          <w:rFonts w:eastAsiaTheme="minorEastAsia"/>
          <w:spacing w:val="2"/>
        </w:rPr>
        <w:t xml:space="preserve"> </w:t>
      </w:r>
      <w:r>
        <w:rPr>
          <w:rFonts w:eastAsiaTheme="minorEastAsia"/>
          <w:spacing w:val="-1"/>
        </w:rPr>
        <w:t>re</w:t>
      </w:r>
      <w:r>
        <w:rPr>
          <w:rFonts w:eastAsiaTheme="minorEastAsia"/>
        </w:rPr>
        <w:t>qu</w:t>
      </w:r>
      <w:r>
        <w:rPr>
          <w:rFonts w:eastAsiaTheme="minorEastAsia"/>
          <w:spacing w:val="1"/>
        </w:rPr>
        <w:t>i</w:t>
      </w:r>
      <w:r>
        <w:rPr>
          <w:rFonts w:eastAsiaTheme="minorEastAsia"/>
          <w:spacing w:val="-1"/>
        </w:rPr>
        <w:t>re</w:t>
      </w:r>
      <w:r>
        <w:rPr>
          <w:rFonts w:eastAsiaTheme="minorEastAsia"/>
        </w:rPr>
        <w:t>s</w:t>
      </w:r>
      <w:r>
        <w:rPr>
          <w:rFonts w:eastAsiaTheme="minorEastAsia"/>
          <w:spacing w:val="2"/>
        </w:rPr>
        <w:t xml:space="preserve"> </w:t>
      </w:r>
      <w:r>
        <w:rPr>
          <w:rFonts w:eastAsiaTheme="minorEastAsia"/>
          <w:spacing w:val="1"/>
        </w:rPr>
        <w:t>t</w:t>
      </w:r>
      <w:r>
        <w:rPr>
          <w:rFonts w:eastAsiaTheme="minorEastAsia"/>
          <w:spacing w:val="3"/>
        </w:rPr>
        <w:t>h</w:t>
      </w:r>
      <w:r>
        <w:rPr>
          <w:rFonts w:eastAsiaTheme="minorEastAsia"/>
          <w:spacing w:val="-1"/>
        </w:rPr>
        <w:t>a</w:t>
      </w:r>
      <w:r>
        <w:rPr>
          <w:rFonts w:eastAsiaTheme="minorEastAsia"/>
        </w:rPr>
        <w:t>t</w:t>
      </w:r>
      <w:r>
        <w:rPr>
          <w:rFonts w:eastAsiaTheme="minorEastAsia"/>
          <w:spacing w:val="-4"/>
        </w:rPr>
        <w:t xml:space="preserve"> </w:t>
      </w:r>
      <w:proofErr w:type="spellStart"/>
      <w:r>
        <w:rPr>
          <w:rFonts w:eastAsiaTheme="minorEastAsia"/>
        </w:rPr>
        <w:t>VO</w:t>
      </w:r>
      <w:r>
        <w:rPr>
          <w:rFonts w:eastAsiaTheme="minorEastAsia"/>
          <w:spacing w:val="1"/>
        </w:rPr>
        <w:t>C</w:t>
      </w:r>
      <w:r>
        <w:rPr>
          <w:rFonts w:eastAsiaTheme="minorEastAsia"/>
        </w:rPr>
        <w:t>s</w:t>
      </w:r>
      <w:proofErr w:type="spellEnd"/>
      <w:r>
        <w:rPr>
          <w:rFonts w:eastAsiaTheme="minorEastAsia"/>
          <w:spacing w:val="35"/>
        </w:rPr>
        <w:t xml:space="preserve"> </w:t>
      </w:r>
      <w:r>
        <w:rPr>
          <w:rFonts w:eastAsiaTheme="minorEastAsia"/>
        </w:rPr>
        <w:t xml:space="preserve">be </w:t>
      </w:r>
      <w:r>
        <w:rPr>
          <w:rFonts w:eastAsiaTheme="minorEastAsia"/>
          <w:spacing w:val="-20"/>
        </w:rPr>
        <w:t xml:space="preserve"> </w:t>
      </w:r>
      <w:r>
        <w:rPr>
          <w:rFonts w:eastAsiaTheme="minorEastAsia"/>
          <w:spacing w:val="-1"/>
        </w:rPr>
        <w:t>c</w:t>
      </w:r>
      <w:r>
        <w:rPr>
          <w:rFonts w:eastAsiaTheme="minorEastAsia"/>
        </w:rPr>
        <w:t>on</w:t>
      </w:r>
      <w:r>
        <w:rPr>
          <w:rFonts w:eastAsiaTheme="minorEastAsia"/>
          <w:spacing w:val="1"/>
        </w:rPr>
        <w:t>t</w:t>
      </w:r>
      <w:r>
        <w:rPr>
          <w:rFonts w:eastAsiaTheme="minorEastAsia"/>
          <w:spacing w:val="-1"/>
        </w:rPr>
        <w:t>r</w:t>
      </w:r>
      <w:r>
        <w:rPr>
          <w:rFonts w:eastAsiaTheme="minorEastAsia"/>
        </w:rPr>
        <w:t>o</w:t>
      </w:r>
      <w:r>
        <w:rPr>
          <w:rFonts w:eastAsiaTheme="minorEastAsia"/>
          <w:spacing w:val="1"/>
        </w:rPr>
        <w:t>ll</w:t>
      </w:r>
      <w:r>
        <w:rPr>
          <w:rFonts w:eastAsiaTheme="minorEastAsia"/>
          <w:spacing w:val="-1"/>
        </w:rPr>
        <w:t>e</w:t>
      </w:r>
      <w:r>
        <w:rPr>
          <w:rFonts w:eastAsiaTheme="minorEastAsia"/>
        </w:rPr>
        <w:t>d</w:t>
      </w:r>
      <w:r>
        <w:rPr>
          <w:rFonts w:eastAsiaTheme="minorEastAsia"/>
          <w:spacing w:val="31"/>
        </w:rPr>
        <w:t xml:space="preserve"> </w:t>
      </w:r>
      <w:r>
        <w:rPr>
          <w:rFonts w:eastAsiaTheme="minorEastAsia"/>
          <w:spacing w:val="-1"/>
        </w:rPr>
        <w:t>fr</w:t>
      </w:r>
      <w:r>
        <w:rPr>
          <w:rFonts w:eastAsiaTheme="minorEastAsia"/>
          <w:spacing w:val="3"/>
        </w:rPr>
        <w:t>o</w:t>
      </w:r>
      <w:r>
        <w:rPr>
          <w:rFonts w:eastAsiaTheme="minorEastAsia"/>
        </w:rPr>
        <w:t>m</w:t>
      </w:r>
      <w:r>
        <w:rPr>
          <w:rFonts w:eastAsiaTheme="minorEastAsia"/>
          <w:spacing w:val="37"/>
        </w:rPr>
        <w:t xml:space="preserve"> </w:t>
      </w:r>
      <w:r>
        <w:rPr>
          <w:rFonts w:eastAsiaTheme="minorEastAsia"/>
          <w:spacing w:val="1"/>
        </w:rPr>
        <w:t>t</w:t>
      </w:r>
      <w:r>
        <w:rPr>
          <w:rFonts w:eastAsiaTheme="minorEastAsia"/>
        </w:rPr>
        <w:t>he</w:t>
      </w:r>
      <w:r>
        <w:rPr>
          <w:rFonts w:eastAsiaTheme="minorEastAsia"/>
          <w:spacing w:val="37"/>
        </w:rPr>
        <w:t xml:space="preserve"> </w:t>
      </w:r>
      <w:r>
        <w:rPr>
          <w:rFonts w:eastAsiaTheme="minorEastAsia"/>
          <w:spacing w:val="-1"/>
        </w:rPr>
        <w:t>a</w:t>
      </w:r>
      <w:r>
        <w:rPr>
          <w:rFonts w:eastAsiaTheme="minorEastAsia"/>
          <w:spacing w:val="-2"/>
        </w:rPr>
        <w:t>g</w:t>
      </w:r>
      <w:r>
        <w:rPr>
          <w:rFonts w:eastAsiaTheme="minorEastAsia"/>
          <w:spacing w:val="1"/>
        </w:rPr>
        <w:t>i</w:t>
      </w:r>
      <w:r>
        <w:rPr>
          <w:rFonts w:eastAsiaTheme="minorEastAsia"/>
          <w:spacing w:val="3"/>
        </w:rPr>
        <w:t>n</w:t>
      </w:r>
      <w:r>
        <w:rPr>
          <w:rFonts w:eastAsiaTheme="minorEastAsia"/>
        </w:rPr>
        <w:t>g</w:t>
      </w:r>
      <w:r>
        <w:rPr>
          <w:rFonts w:eastAsiaTheme="minorEastAsia"/>
          <w:spacing w:val="34"/>
        </w:rPr>
        <w:t xml:space="preserve"> </w:t>
      </w:r>
      <w:r>
        <w:rPr>
          <w:rFonts w:eastAsiaTheme="minorEastAsia"/>
        </w:rPr>
        <w:t>w</w:t>
      </w:r>
      <w:r>
        <w:rPr>
          <w:rFonts w:eastAsiaTheme="minorEastAsia"/>
          <w:spacing w:val="-1"/>
        </w:rPr>
        <w:t>a</w:t>
      </w:r>
      <w:r>
        <w:rPr>
          <w:rFonts w:eastAsiaTheme="minorEastAsia"/>
          <w:spacing w:val="2"/>
        </w:rPr>
        <w:t>r</w:t>
      </w:r>
      <w:r>
        <w:rPr>
          <w:rFonts w:eastAsiaTheme="minorEastAsia"/>
          <w:spacing w:val="-1"/>
        </w:rPr>
        <w:t>e</w:t>
      </w:r>
      <w:r>
        <w:rPr>
          <w:rFonts w:eastAsiaTheme="minorEastAsia"/>
        </w:rPr>
        <w:t>hous</w:t>
      </w:r>
      <w:r>
        <w:rPr>
          <w:rFonts w:eastAsiaTheme="minorEastAsia"/>
          <w:spacing w:val="-1"/>
        </w:rPr>
        <w:t>e</w:t>
      </w:r>
      <w:r>
        <w:rPr>
          <w:rFonts w:eastAsiaTheme="minorEastAsia"/>
          <w:spacing w:val="3"/>
        </w:rPr>
        <w:t>s</w:t>
      </w:r>
      <w:r>
        <w:rPr>
          <w:rFonts w:eastAsiaTheme="minorEastAsia"/>
        </w:rPr>
        <w:t xml:space="preserve">.  </w:t>
      </w:r>
      <w:r>
        <w:rPr>
          <w:rFonts w:eastAsiaTheme="minorEastAsia"/>
          <w:spacing w:val="10"/>
        </w:rPr>
        <w:t xml:space="preserve"> </w:t>
      </w:r>
      <w:r>
        <w:rPr>
          <w:rFonts w:eastAsiaTheme="minorEastAsia"/>
        </w:rPr>
        <w:t>The</w:t>
      </w:r>
      <w:r>
        <w:rPr>
          <w:rFonts w:eastAsiaTheme="minorEastAsia"/>
          <w:spacing w:val="36"/>
        </w:rPr>
        <w:t xml:space="preserve"> </w:t>
      </w:r>
      <w:r>
        <w:rPr>
          <w:rFonts w:eastAsiaTheme="minorEastAsia"/>
          <w:spacing w:val="1"/>
        </w:rPr>
        <w:t>M</w:t>
      </w:r>
      <w:r>
        <w:rPr>
          <w:rFonts w:eastAsiaTheme="minorEastAsia"/>
          <w:spacing w:val="-1"/>
        </w:rPr>
        <w:t>a</w:t>
      </w:r>
      <w:r>
        <w:rPr>
          <w:rFonts w:eastAsiaTheme="minorEastAsia"/>
          <w:spacing w:val="2"/>
        </w:rPr>
        <w:t>r</w:t>
      </w:r>
      <w:r>
        <w:rPr>
          <w:rFonts w:eastAsiaTheme="minorEastAsia"/>
          <w:spacing w:val="-5"/>
        </w:rPr>
        <w:t>y</w:t>
      </w:r>
      <w:r>
        <w:rPr>
          <w:rFonts w:eastAsiaTheme="minorEastAsia"/>
          <w:spacing w:val="3"/>
        </w:rPr>
        <w:t>l</w:t>
      </w:r>
      <w:r>
        <w:rPr>
          <w:rFonts w:eastAsiaTheme="minorEastAsia"/>
          <w:spacing w:val="-1"/>
        </w:rPr>
        <w:t>a</w:t>
      </w:r>
      <w:r>
        <w:rPr>
          <w:rFonts w:eastAsiaTheme="minorEastAsia"/>
        </w:rPr>
        <w:t>nd</w:t>
      </w:r>
      <w:r>
        <w:rPr>
          <w:rFonts w:eastAsiaTheme="minorEastAsia"/>
          <w:spacing w:val="-10"/>
        </w:rPr>
        <w:t xml:space="preserve"> </w:t>
      </w:r>
      <w:r>
        <w:rPr>
          <w:rFonts w:eastAsiaTheme="minorEastAsia"/>
          <w:spacing w:val="-1"/>
        </w:rPr>
        <w:t>r</w:t>
      </w:r>
      <w:r>
        <w:rPr>
          <w:rFonts w:eastAsiaTheme="minorEastAsia"/>
          <w:spacing w:val="2"/>
        </w:rPr>
        <w:t>e</w:t>
      </w:r>
      <w:r>
        <w:rPr>
          <w:rFonts w:eastAsiaTheme="minorEastAsia"/>
          <w:spacing w:val="-2"/>
        </w:rPr>
        <w:t>g</w:t>
      </w:r>
      <w:r>
        <w:rPr>
          <w:rFonts w:eastAsiaTheme="minorEastAsia"/>
        </w:rPr>
        <w:t>u</w:t>
      </w:r>
      <w:r>
        <w:rPr>
          <w:rFonts w:eastAsiaTheme="minorEastAsia"/>
          <w:spacing w:val="1"/>
        </w:rPr>
        <w:t>l</w:t>
      </w:r>
      <w:r>
        <w:rPr>
          <w:rFonts w:eastAsiaTheme="minorEastAsia"/>
          <w:spacing w:val="-1"/>
        </w:rPr>
        <w:t>a</w:t>
      </w:r>
      <w:r>
        <w:rPr>
          <w:rFonts w:eastAsiaTheme="minorEastAsia"/>
          <w:spacing w:val="1"/>
        </w:rPr>
        <w:t>ti</w:t>
      </w:r>
      <w:r>
        <w:rPr>
          <w:rFonts w:eastAsiaTheme="minorEastAsia"/>
        </w:rPr>
        <w:t>on</w:t>
      </w:r>
      <w:r>
        <w:rPr>
          <w:rFonts w:eastAsiaTheme="minorEastAsia"/>
          <w:spacing w:val="26"/>
        </w:rPr>
        <w:t xml:space="preserve"> </w:t>
      </w:r>
      <w:r>
        <w:rPr>
          <w:rFonts w:eastAsiaTheme="minorEastAsia"/>
          <w:spacing w:val="1"/>
        </w:rPr>
        <w:t>i</w:t>
      </w:r>
      <w:r>
        <w:rPr>
          <w:rFonts w:eastAsiaTheme="minorEastAsia"/>
        </w:rPr>
        <w:t>s</w:t>
      </w:r>
      <w:r>
        <w:rPr>
          <w:rFonts w:eastAsiaTheme="minorEastAsia"/>
          <w:spacing w:val="34"/>
        </w:rPr>
        <w:t xml:space="preserve"> </w:t>
      </w:r>
      <w:r>
        <w:rPr>
          <w:rFonts w:eastAsiaTheme="minorEastAsia"/>
        </w:rPr>
        <w:t>not</w:t>
      </w:r>
      <w:r>
        <w:rPr>
          <w:rFonts w:eastAsiaTheme="minorEastAsia"/>
          <w:spacing w:val="34"/>
        </w:rPr>
        <w:t xml:space="preserve"> </w:t>
      </w:r>
      <w:r>
        <w:rPr>
          <w:rFonts w:eastAsiaTheme="minorEastAsia"/>
          <w:spacing w:val="1"/>
        </w:rPr>
        <w:t>t</w:t>
      </w:r>
      <w:r>
        <w:rPr>
          <w:rFonts w:eastAsiaTheme="minorEastAsia"/>
        </w:rPr>
        <w:t>o</w:t>
      </w:r>
      <w:r>
        <w:rPr>
          <w:rFonts w:eastAsiaTheme="minorEastAsia"/>
          <w:spacing w:val="34"/>
        </w:rPr>
        <w:t xml:space="preserve"> </w:t>
      </w:r>
      <w:r>
        <w:rPr>
          <w:rFonts w:eastAsiaTheme="minorEastAsia"/>
        </w:rPr>
        <w:t xml:space="preserve">be </w:t>
      </w:r>
      <w:r>
        <w:rPr>
          <w:rFonts w:eastAsiaTheme="minorEastAsia"/>
          <w:spacing w:val="-25"/>
        </w:rPr>
        <w:t xml:space="preserve"> </w:t>
      </w:r>
      <w:r>
        <w:rPr>
          <w:rFonts w:eastAsiaTheme="minorEastAsia"/>
          <w:spacing w:val="-1"/>
        </w:rPr>
        <w:t>c</w:t>
      </w:r>
      <w:r>
        <w:rPr>
          <w:rFonts w:eastAsiaTheme="minorEastAsia"/>
        </w:rPr>
        <w:t>ons</w:t>
      </w:r>
      <w:r>
        <w:rPr>
          <w:rFonts w:eastAsiaTheme="minorEastAsia"/>
          <w:spacing w:val="1"/>
        </w:rPr>
        <w:t>t</w:t>
      </w:r>
      <w:r>
        <w:rPr>
          <w:rFonts w:eastAsiaTheme="minorEastAsia"/>
          <w:spacing w:val="-1"/>
        </w:rPr>
        <w:t>r</w:t>
      </w:r>
      <w:r>
        <w:rPr>
          <w:rFonts w:eastAsiaTheme="minorEastAsia"/>
        </w:rPr>
        <w:t>u</w:t>
      </w:r>
      <w:r>
        <w:rPr>
          <w:rFonts w:eastAsiaTheme="minorEastAsia"/>
          <w:spacing w:val="-1"/>
        </w:rPr>
        <w:t>e</w:t>
      </w:r>
      <w:r>
        <w:rPr>
          <w:rFonts w:eastAsiaTheme="minorEastAsia"/>
        </w:rPr>
        <w:t>d</w:t>
      </w:r>
      <w:r>
        <w:rPr>
          <w:rFonts w:eastAsiaTheme="minorEastAsia"/>
          <w:spacing w:val="27"/>
        </w:rPr>
        <w:t xml:space="preserve"> </w:t>
      </w:r>
      <w:r>
        <w:rPr>
          <w:rFonts w:eastAsiaTheme="minorEastAsia"/>
          <w:spacing w:val="1"/>
        </w:rPr>
        <w:t>t</w:t>
      </w:r>
      <w:r>
        <w:rPr>
          <w:rFonts w:eastAsiaTheme="minorEastAsia"/>
        </w:rPr>
        <w:t>o</w:t>
      </w:r>
      <w:r>
        <w:rPr>
          <w:rFonts w:eastAsiaTheme="minorEastAsia"/>
          <w:spacing w:val="34"/>
        </w:rPr>
        <w:t xml:space="preserve"> </w:t>
      </w:r>
      <w:r>
        <w:rPr>
          <w:rFonts w:eastAsiaTheme="minorEastAsia"/>
          <w:spacing w:val="1"/>
        </w:rPr>
        <w:t>m</w:t>
      </w:r>
      <w:r>
        <w:rPr>
          <w:rFonts w:eastAsiaTheme="minorEastAsia"/>
          <w:spacing w:val="-1"/>
        </w:rPr>
        <w:t>ea</w:t>
      </w:r>
      <w:r>
        <w:rPr>
          <w:rFonts w:eastAsiaTheme="minorEastAsia"/>
        </w:rPr>
        <w:t>n</w:t>
      </w:r>
      <w:r>
        <w:rPr>
          <w:rFonts w:eastAsiaTheme="minorEastAsia"/>
          <w:spacing w:val="31"/>
        </w:rPr>
        <w:t xml:space="preserve"> </w:t>
      </w:r>
      <w:r>
        <w:rPr>
          <w:rFonts w:eastAsiaTheme="minorEastAsia"/>
          <w:spacing w:val="1"/>
        </w:rPr>
        <w:t>t</w:t>
      </w:r>
      <w:r>
        <w:rPr>
          <w:rFonts w:eastAsiaTheme="minorEastAsia"/>
        </w:rPr>
        <w:t>h</w:t>
      </w:r>
      <w:r>
        <w:rPr>
          <w:rFonts w:eastAsiaTheme="minorEastAsia"/>
          <w:spacing w:val="-1"/>
        </w:rPr>
        <w:t>a</w:t>
      </w:r>
      <w:r>
        <w:rPr>
          <w:rFonts w:eastAsiaTheme="minorEastAsia"/>
        </w:rPr>
        <w:t>t</w:t>
      </w:r>
      <w:r>
        <w:rPr>
          <w:rFonts w:eastAsiaTheme="minorEastAsia"/>
          <w:spacing w:val="33"/>
        </w:rPr>
        <w:t xml:space="preserve"> </w:t>
      </w:r>
      <w:r>
        <w:rPr>
          <w:rFonts w:eastAsiaTheme="minorEastAsia"/>
          <w:spacing w:val="1"/>
        </w:rPr>
        <w:t>t</w:t>
      </w:r>
      <w:r>
        <w:rPr>
          <w:rFonts w:eastAsiaTheme="minorEastAsia"/>
        </w:rPr>
        <w:t>he</w:t>
      </w:r>
      <w:r>
        <w:rPr>
          <w:rFonts w:eastAsiaTheme="minorEastAsia"/>
          <w:spacing w:val="32"/>
        </w:rPr>
        <w:t xml:space="preserve"> </w:t>
      </w:r>
      <w:r>
        <w:rPr>
          <w:rFonts w:eastAsiaTheme="minorEastAsia"/>
          <w:spacing w:val="-1"/>
        </w:rPr>
        <w:t>re</w:t>
      </w:r>
      <w:r>
        <w:rPr>
          <w:rFonts w:eastAsiaTheme="minorEastAsia"/>
        </w:rPr>
        <w:t>qu</w:t>
      </w:r>
      <w:r>
        <w:rPr>
          <w:rFonts w:eastAsiaTheme="minorEastAsia"/>
          <w:spacing w:val="1"/>
        </w:rPr>
        <w:t>i</w:t>
      </w:r>
      <w:r>
        <w:rPr>
          <w:rFonts w:eastAsiaTheme="minorEastAsia"/>
          <w:spacing w:val="2"/>
        </w:rPr>
        <w:t>r</w:t>
      </w:r>
      <w:r>
        <w:rPr>
          <w:rFonts w:eastAsiaTheme="minorEastAsia"/>
          <w:spacing w:val="-1"/>
        </w:rPr>
        <w:t>e</w:t>
      </w:r>
      <w:r>
        <w:rPr>
          <w:rFonts w:eastAsiaTheme="minorEastAsia"/>
        </w:rPr>
        <w:t>d</w:t>
      </w:r>
      <w:r>
        <w:rPr>
          <w:rFonts w:eastAsiaTheme="minorEastAsia"/>
          <w:spacing w:val="31"/>
        </w:rPr>
        <w:t xml:space="preserve"> </w:t>
      </w:r>
      <w:r>
        <w:rPr>
          <w:rFonts w:eastAsiaTheme="minorEastAsia"/>
          <w:spacing w:val="-2"/>
        </w:rPr>
        <w:t>g</w:t>
      </w:r>
      <w:r>
        <w:rPr>
          <w:rFonts w:eastAsiaTheme="minorEastAsia"/>
        </w:rPr>
        <w:t>ood</w:t>
      </w:r>
      <w:r>
        <w:rPr>
          <w:rFonts w:eastAsiaTheme="minorEastAsia"/>
          <w:spacing w:val="-5"/>
        </w:rPr>
        <w:t xml:space="preserve"> </w:t>
      </w:r>
      <w:r>
        <w:rPr>
          <w:rFonts w:eastAsiaTheme="minorEastAsia"/>
        </w:rPr>
        <w:t>op</w:t>
      </w:r>
      <w:r>
        <w:rPr>
          <w:rFonts w:eastAsiaTheme="minorEastAsia"/>
          <w:spacing w:val="-1"/>
        </w:rPr>
        <w:t>era</w:t>
      </w:r>
      <w:r>
        <w:rPr>
          <w:rFonts w:eastAsiaTheme="minorEastAsia"/>
          <w:spacing w:val="1"/>
        </w:rPr>
        <w:t>ti</w:t>
      </w:r>
      <w:r>
        <w:rPr>
          <w:rFonts w:eastAsiaTheme="minorEastAsia"/>
          <w:spacing w:val="3"/>
        </w:rPr>
        <w:t>n</w:t>
      </w:r>
      <w:r>
        <w:rPr>
          <w:rFonts w:eastAsiaTheme="minorEastAsia"/>
        </w:rPr>
        <w:t>g</w:t>
      </w:r>
      <w:r>
        <w:rPr>
          <w:rFonts w:eastAsiaTheme="minorEastAsia"/>
          <w:spacing w:val="49"/>
        </w:rPr>
        <w:t xml:space="preserve"> </w:t>
      </w:r>
      <w:r>
        <w:rPr>
          <w:rFonts w:eastAsiaTheme="minorEastAsia"/>
        </w:rPr>
        <w:t>p</w:t>
      </w:r>
      <w:r>
        <w:rPr>
          <w:rFonts w:eastAsiaTheme="minorEastAsia"/>
          <w:spacing w:val="-1"/>
        </w:rPr>
        <w:t>r</w:t>
      </w:r>
      <w:r>
        <w:rPr>
          <w:rFonts w:eastAsiaTheme="minorEastAsia"/>
          <w:spacing w:val="2"/>
        </w:rPr>
        <w:t>a</w:t>
      </w:r>
      <w:r>
        <w:rPr>
          <w:rFonts w:eastAsiaTheme="minorEastAsia"/>
          <w:spacing w:val="-1"/>
        </w:rPr>
        <w:t>c</w:t>
      </w:r>
      <w:r>
        <w:rPr>
          <w:rFonts w:eastAsiaTheme="minorEastAsia"/>
          <w:spacing w:val="1"/>
        </w:rPr>
        <w:t>ti</w:t>
      </w:r>
      <w:r>
        <w:rPr>
          <w:rFonts w:eastAsiaTheme="minorEastAsia"/>
          <w:spacing w:val="-1"/>
        </w:rPr>
        <w:t>ce</w:t>
      </w:r>
      <w:r>
        <w:rPr>
          <w:rFonts w:eastAsiaTheme="minorEastAsia"/>
        </w:rPr>
        <w:t>s</w:t>
      </w:r>
      <w:r>
        <w:rPr>
          <w:rFonts w:eastAsiaTheme="minorEastAsia"/>
          <w:spacing w:val="51"/>
        </w:rPr>
        <w:t xml:space="preserve"> </w:t>
      </w:r>
      <w:r>
        <w:rPr>
          <w:rFonts w:eastAsiaTheme="minorEastAsia"/>
          <w:spacing w:val="1"/>
        </w:rPr>
        <w:t>m</w:t>
      </w:r>
      <w:r>
        <w:rPr>
          <w:rFonts w:eastAsiaTheme="minorEastAsia"/>
          <w:spacing w:val="-1"/>
        </w:rPr>
        <w:t>a</w:t>
      </w:r>
      <w:r>
        <w:rPr>
          <w:rFonts w:eastAsiaTheme="minorEastAsia"/>
          <w:spacing w:val="3"/>
        </w:rPr>
        <w:t>n</w:t>
      </w:r>
      <w:r>
        <w:rPr>
          <w:rFonts w:eastAsiaTheme="minorEastAsia"/>
        </w:rPr>
        <w:t>u</w:t>
      </w:r>
      <w:r>
        <w:rPr>
          <w:rFonts w:eastAsiaTheme="minorEastAsia"/>
          <w:spacing w:val="-1"/>
        </w:rPr>
        <w:t>a</w:t>
      </w:r>
      <w:r>
        <w:rPr>
          <w:rFonts w:eastAsiaTheme="minorEastAsia"/>
        </w:rPr>
        <w:t>l</w:t>
      </w:r>
      <w:r>
        <w:rPr>
          <w:rFonts w:eastAsiaTheme="minorEastAsia"/>
          <w:spacing w:val="54"/>
        </w:rPr>
        <w:t xml:space="preserve"> </w:t>
      </w:r>
      <w:r>
        <w:rPr>
          <w:rFonts w:eastAsiaTheme="minorEastAsia"/>
          <w:spacing w:val="-1"/>
        </w:rPr>
        <w:t>e</w:t>
      </w:r>
      <w:r>
        <w:rPr>
          <w:rFonts w:eastAsiaTheme="minorEastAsia"/>
          <w:spacing w:val="3"/>
        </w:rPr>
        <w:t>x</w:t>
      </w:r>
      <w:r>
        <w:rPr>
          <w:rFonts w:eastAsiaTheme="minorEastAsia"/>
          <w:spacing w:val="1"/>
        </w:rPr>
        <w:t>t</w:t>
      </w:r>
      <w:r>
        <w:rPr>
          <w:rFonts w:eastAsiaTheme="minorEastAsia"/>
          <w:spacing w:val="-1"/>
        </w:rPr>
        <w:t>e</w:t>
      </w:r>
      <w:r>
        <w:rPr>
          <w:rFonts w:eastAsiaTheme="minorEastAsia"/>
        </w:rPr>
        <w:t>nds</w:t>
      </w:r>
      <w:r>
        <w:rPr>
          <w:rFonts w:eastAsiaTheme="minorEastAsia"/>
          <w:spacing w:val="53"/>
        </w:rPr>
        <w:t xml:space="preserve"> </w:t>
      </w:r>
      <w:r>
        <w:rPr>
          <w:rFonts w:eastAsiaTheme="minorEastAsia"/>
          <w:spacing w:val="1"/>
        </w:rPr>
        <w:t>t</w:t>
      </w:r>
      <w:r>
        <w:rPr>
          <w:rFonts w:eastAsiaTheme="minorEastAsia"/>
        </w:rPr>
        <w:t xml:space="preserve">o  </w:t>
      </w:r>
      <w:r>
        <w:rPr>
          <w:rFonts w:eastAsiaTheme="minorEastAsia"/>
          <w:spacing w:val="1"/>
        </w:rPr>
        <w:t>t</w:t>
      </w:r>
      <w:r>
        <w:rPr>
          <w:rFonts w:eastAsiaTheme="minorEastAsia"/>
        </w:rPr>
        <w:t>he</w:t>
      </w:r>
      <w:r>
        <w:rPr>
          <w:rFonts w:eastAsiaTheme="minorEastAsia"/>
          <w:spacing w:val="56"/>
        </w:rPr>
        <w:t xml:space="preserve"> </w:t>
      </w:r>
      <w:r>
        <w:rPr>
          <w:rFonts w:eastAsiaTheme="minorEastAsia"/>
          <w:spacing w:val="-1"/>
        </w:rPr>
        <w:t>a</w:t>
      </w:r>
      <w:r>
        <w:rPr>
          <w:rFonts w:eastAsiaTheme="minorEastAsia"/>
          <w:spacing w:val="-2"/>
        </w:rPr>
        <w:t>g</w:t>
      </w:r>
      <w:r>
        <w:rPr>
          <w:rFonts w:eastAsiaTheme="minorEastAsia"/>
          <w:spacing w:val="1"/>
        </w:rPr>
        <w:t>i</w:t>
      </w:r>
      <w:r>
        <w:rPr>
          <w:rFonts w:eastAsiaTheme="minorEastAsia"/>
          <w:spacing w:val="3"/>
        </w:rPr>
        <w:t>n</w:t>
      </w:r>
      <w:r>
        <w:rPr>
          <w:rFonts w:eastAsiaTheme="minorEastAsia"/>
        </w:rPr>
        <w:t>g</w:t>
      </w:r>
      <w:r>
        <w:rPr>
          <w:rFonts w:eastAsiaTheme="minorEastAsia"/>
          <w:spacing w:val="53"/>
        </w:rPr>
        <w:t xml:space="preserve"> </w:t>
      </w:r>
      <w:r>
        <w:rPr>
          <w:rFonts w:eastAsiaTheme="minorEastAsia"/>
        </w:rPr>
        <w:t>p</w:t>
      </w:r>
      <w:r>
        <w:rPr>
          <w:rFonts w:eastAsiaTheme="minorEastAsia"/>
          <w:spacing w:val="-1"/>
        </w:rPr>
        <w:t>r</w:t>
      </w:r>
      <w:r>
        <w:rPr>
          <w:rFonts w:eastAsiaTheme="minorEastAsia"/>
          <w:spacing w:val="2"/>
        </w:rPr>
        <w:t>o</w:t>
      </w:r>
      <w:r>
        <w:rPr>
          <w:rFonts w:eastAsiaTheme="minorEastAsia"/>
          <w:spacing w:val="-1"/>
        </w:rPr>
        <w:t>ce</w:t>
      </w:r>
      <w:r>
        <w:rPr>
          <w:rFonts w:eastAsiaTheme="minorEastAsia"/>
        </w:rPr>
        <w:t>ss</w:t>
      </w:r>
      <w:r>
        <w:rPr>
          <w:rFonts w:eastAsiaTheme="minorEastAsia"/>
          <w:spacing w:val="56"/>
        </w:rPr>
        <w:t xml:space="preserve"> </w:t>
      </w:r>
      <w:r>
        <w:rPr>
          <w:rFonts w:eastAsiaTheme="minorEastAsia"/>
          <w:spacing w:val="-1"/>
        </w:rPr>
        <w:t>a</w:t>
      </w:r>
      <w:r>
        <w:rPr>
          <w:rFonts w:eastAsiaTheme="minorEastAsia"/>
        </w:rPr>
        <w:t>t</w:t>
      </w:r>
      <w:r>
        <w:rPr>
          <w:rFonts w:eastAsiaTheme="minorEastAsia"/>
          <w:spacing w:val="59"/>
        </w:rPr>
        <w:t xml:space="preserve"> </w:t>
      </w:r>
      <w:r>
        <w:rPr>
          <w:rFonts w:eastAsiaTheme="minorEastAsia"/>
          <w:spacing w:val="1"/>
        </w:rPr>
        <w:t>t</w:t>
      </w:r>
      <w:r>
        <w:rPr>
          <w:rFonts w:eastAsiaTheme="minorEastAsia"/>
        </w:rPr>
        <w:t>he</w:t>
      </w:r>
      <w:r>
        <w:rPr>
          <w:rFonts w:eastAsiaTheme="minorEastAsia"/>
          <w:spacing w:val="-4"/>
        </w:rPr>
        <w:t xml:space="preserve"> </w:t>
      </w:r>
      <w:r>
        <w:rPr>
          <w:rFonts w:eastAsiaTheme="minorEastAsia"/>
          <w:spacing w:val="-1"/>
        </w:rPr>
        <w:t>aff</w:t>
      </w:r>
      <w:r>
        <w:rPr>
          <w:rFonts w:eastAsiaTheme="minorEastAsia"/>
          <w:spacing w:val="2"/>
        </w:rPr>
        <w:t>e</w:t>
      </w:r>
      <w:r>
        <w:rPr>
          <w:rFonts w:eastAsiaTheme="minorEastAsia"/>
          <w:spacing w:val="-1"/>
        </w:rPr>
        <w:t>c</w:t>
      </w:r>
      <w:r>
        <w:rPr>
          <w:rFonts w:eastAsiaTheme="minorEastAsia"/>
          <w:spacing w:val="1"/>
        </w:rPr>
        <w:t>t</w:t>
      </w:r>
      <w:r>
        <w:rPr>
          <w:rFonts w:eastAsiaTheme="minorEastAsia"/>
          <w:spacing w:val="-1"/>
        </w:rPr>
        <w:t>e</w:t>
      </w:r>
      <w:r>
        <w:rPr>
          <w:rFonts w:eastAsiaTheme="minorEastAsia"/>
        </w:rPr>
        <w:t>d</w:t>
      </w:r>
      <w:r>
        <w:rPr>
          <w:rFonts w:eastAsiaTheme="minorEastAsia"/>
          <w:spacing w:val="-8"/>
        </w:rPr>
        <w:t xml:space="preserve"> </w:t>
      </w:r>
      <w:r>
        <w:rPr>
          <w:rFonts w:eastAsiaTheme="minorEastAsia"/>
          <w:spacing w:val="2"/>
        </w:rPr>
        <w:t>f</w:t>
      </w:r>
      <w:r>
        <w:rPr>
          <w:rFonts w:eastAsiaTheme="minorEastAsia"/>
          <w:spacing w:val="-1"/>
        </w:rPr>
        <w:t>ac</w:t>
      </w:r>
      <w:r>
        <w:rPr>
          <w:rFonts w:eastAsiaTheme="minorEastAsia"/>
          <w:spacing w:val="1"/>
        </w:rPr>
        <w:t>ili</w:t>
      </w:r>
      <w:r>
        <w:rPr>
          <w:rFonts w:eastAsiaTheme="minorEastAsia"/>
          <w:spacing w:val="3"/>
        </w:rPr>
        <w:t>t</w:t>
      </w:r>
      <w:r>
        <w:rPr>
          <w:rFonts w:eastAsiaTheme="minorEastAsia"/>
        </w:rPr>
        <w:t>y</w:t>
      </w:r>
      <w:r>
        <w:rPr>
          <w:rFonts w:eastAsiaTheme="minorEastAsia"/>
          <w:spacing w:val="-12"/>
        </w:rPr>
        <w:t xml:space="preserve"> </w:t>
      </w:r>
      <w:r>
        <w:rPr>
          <w:rFonts w:eastAsiaTheme="minorEastAsia"/>
          <w:spacing w:val="1"/>
        </w:rPr>
        <w:t>i</w:t>
      </w:r>
      <w:r>
        <w:rPr>
          <w:rFonts w:eastAsiaTheme="minorEastAsia"/>
        </w:rPr>
        <w:t>n</w:t>
      </w:r>
      <w:r>
        <w:rPr>
          <w:rFonts w:eastAsiaTheme="minorEastAsia"/>
          <w:spacing w:val="-2"/>
        </w:rPr>
        <w:t xml:space="preserve"> </w:t>
      </w:r>
      <w:r>
        <w:rPr>
          <w:rFonts w:eastAsiaTheme="minorEastAsia"/>
          <w:spacing w:val="1"/>
        </w:rPr>
        <w:t>M</w:t>
      </w:r>
      <w:r>
        <w:rPr>
          <w:rFonts w:eastAsiaTheme="minorEastAsia"/>
          <w:spacing w:val="2"/>
        </w:rPr>
        <w:t>a</w:t>
      </w:r>
      <w:r>
        <w:rPr>
          <w:rFonts w:eastAsiaTheme="minorEastAsia"/>
          <w:spacing w:val="4"/>
        </w:rPr>
        <w:t>r</w:t>
      </w:r>
      <w:r>
        <w:rPr>
          <w:rFonts w:eastAsiaTheme="minorEastAsia"/>
          <w:spacing w:val="-7"/>
        </w:rPr>
        <w:t>y</w:t>
      </w:r>
      <w:r>
        <w:rPr>
          <w:rFonts w:eastAsiaTheme="minorEastAsia"/>
          <w:spacing w:val="3"/>
        </w:rPr>
        <w:t>l</w:t>
      </w:r>
      <w:r>
        <w:rPr>
          <w:rFonts w:eastAsiaTheme="minorEastAsia"/>
          <w:spacing w:val="-1"/>
        </w:rPr>
        <w:t>a</w:t>
      </w:r>
      <w:r>
        <w:rPr>
          <w:rFonts w:eastAsiaTheme="minorEastAsia"/>
        </w:rPr>
        <w:t>nd.</w:t>
      </w:r>
    </w:p>
    <w:p w:rsidR="00487786" w:rsidRDefault="00487786">
      <w:pPr>
        <w:autoSpaceDE w:val="0"/>
        <w:autoSpaceDN w:val="0"/>
        <w:adjustRightInd w:val="0"/>
        <w:spacing w:line="258" w:lineRule="exact"/>
        <w:ind w:left="40" w:right="-20"/>
        <w:jc w:val="left"/>
        <w:rPr>
          <w:rFonts w:eastAsiaTheme="minorEastAsia"/>
        </w:rPr>
      </w:pPr>
    </w:p>
    <w:p w:rsidR="00487786" w:rsidRDefault="009C73ED">
      <w:pPr>
        <w:autoSpaceDE w:val="0"/>
        <w:autoSpaceDN w:val="0"/>
        <w:adjustRightInd w:val="0"/>
        <w:spacing w:line="480" w:lineRule="auto"/>
        <w:ind w:left="43" w:right="-14"/>
        <w:rPr>
          <w:rFonts w:eastAsiaTheme="minorEastAsia"/>
        </w:rPr>
      </w:pPr>
      <w:r>
        <w:rPr>
          <w:rFonts w:eastAsiaTheme="minorEastAsia"/>
        </w:rPr>
        <w:lastRenderedPageBreak/>
        <w:t>66</w:t>
      </w:r>
      <w:r>
        <w:rPr>
          <w:rFonts w:eastAsiaTheme="minorEastAsia"/>
          <w:spacing w:val="37"/>
        </w:rPr>
        <w:t xml:space="preserve"> </w:t>
      </w:r>
      <w:r>
        <w:rPr>
          <w:rFonts w:eastAsiaTheme="minorEastAsia"/>
          <w:spacing w:val="-1"/>
        </w:rPr>
        <w:t>Fe</w:t>
      </w:r>
      <w:r>
        <w:rPr>
          <w:rFonts w:eastAsiaTheme="minorEastAsia"/>
        </w:rPr>
        <w:t>d.</w:t>
      </w:r>
      <w:r>
        <w:rPr>
          <w:rFonts w:eastAsiaTheme="minorEastAsia"/>
          <w:spacing w:val="35"/>
        </w:rPr>
        <w:t xml:space="preserve"> </w:t>
      </w:r>
      <w:r>
        <w:rPr>
          <w:rFonts w:eastAsiaTheme="minorEastAsia"/>
          <w:spacing w:val="3"/>
        </w:rPr>
        <w:t>R</w:t>
      </w:r>
      <w:r>
        <w:rPr>
          <w:rFonts w:eastAsiaTheme="minorEastAsia"/>
          <w:spacing w:val="2"/>
        </w:rPr>
        <w:t>e</w:t>
      </w:r>
      <w:r>
        <w:rPr>
          <w:rFonts w:eastAsiaTheme="minorEastAsia"/>
          <w:spacing w:val="-2"/>
        </w:rPr>
        <w:t>g</w:t>
      </w:r>
      <w:r>
        <w:rPr>
          <w:rFonts w:eastAsiaTheme="minorEastAsia"/>
        </w:rPr>
        <w:t>.</w:t>
      </w:r>
      <w:r>
        <w:rPr>
          <w:rFonts w:eastAsiaTheme="minorEastAsia"/>
          <w:spacing w:val="35"/>
        </w:rPr>
        <w:t xml:space="preserve"> </w:t>
      </w:r>
      <w:r>
        <w:rPr>
          <w:rFonts w:eastAsiaTheme="minorEastAsia"/>
        </w:rPr>
        <w:t>56220</w:t>
      </w:r>
      <w:r>
        <w:rPr>
          <w:rFonts w:eastAsiaTheme="minorEastAsia"/>
          <w:spacing w:val="33"/>
        </w:rPr>
        <w:t xml:space="preserve"> </w:t>
      </w:r>
      <w:r>
        <w:rPr>
          <w:rFonts w:eastAsiaTheme="minorEastAsia"/>
          <w:spacing w:val="2"/>
        </w:rPr>
        <w:t>(N</w:t>
      </w:r>
      <w:r>
        <w:rPr>
          <w:rFonts w:eastAsiaTheme="minorEastAsia"/>
        </w:rPr>
        <w:t>ov</w:t>
      </w:r>
      <w:r>
        <w:rPr>
          <w:rFonts w:eastAsiaTheme="minorEastAsia"/>
          <w:spacing w:val="-1"/>
        </w:rPr>
        <w:t>.</w:t>
      </w:r>
      <w:r>
        <w:rPr>
          <w:rFonts w:eastAsiaTheme="minorEastAsia"/>
          <w:spacing w:val="27"/>
        </w:rPr>
        <w:t xml:space="preserve"> </w:t>
      </w:r>
      <w:r>
        <w:rPr>
          <w:rFonts w:eastAsiaTheme="minorEastAsia"/>
        </w:rPr>
        <w:t>7,</w:t>
      </w:r>
      <w:r>
        <w:rPr>
          <w:rFonts w:eastAsiaTheme="minorEastAsia"/>
          <w:spacing w:val="37"/>
        </w:rPr>
        <w:t xml:space="preserve"> </w:t>
      </w:r>
      <w:r>
        <w:rPr>
          <w:rFonts w:eastAsiaTheme="minorEastAsia"/>
        </w:rPr>
        <w:t>200</w:t>
      </w:r>
      <w:r>
        <w:rPr>
          <w:rFonts w:eastAsiaTheme="minorEastAsia"/>
          <w:spacing w:val="3"/>
        </w:rPr>
        <w:t>1</w:t>
      </w:r>
      <w:r>
        <w:rPr>
          <w:rFonts w:eastAsiaTheme="minorEastAsia"/>
          <w:spacing w:val="-1"/>
        </w:rPr>
        <w:t>)</w:t>
      </w:r>
      <w:r>
        <w:rPr>
          <w:rFonts w:eastAsiaTheme="minorEastAsia"/>
        </w:rPr>
        <w:t>.  EPA, of course, wou</w:t>
      </w:r>
      <w:r>
        <w:rPr>
          <w:rFonts w:eastAsiaTheme="minorEastAsia"/>
          <w:spacing w:val="1"/>
        </w:rPr>
        <w:t>l</w:t>
      </w:r>
      <w:r>
        <w:rPr>
          <w:rFonts w:eastAsiaTheme="minorEastAsia"/>
        </w:rPr>
        <w:t>d</w:t>
      </w:r>
      <w:r>
        <w:rPr>
          <w:rFonts w:eastAsiaTheme="minorEastAsia"/>
          <w:spacing w:val="33"/>
        </w:rPr>
        <w:t xml:space="preserve"> </w:t>
      </w:r>
      <w:r>
        <w:rPr>
          <w:rFonts w:eastAsiaTheme="minorEastAsia"/>
        </w:rPr>
        <w:t>not</w:t>
      </w:r>
      <w:r>
        <w:rPr>
          <w:rFonts w:eastAsiaTheme="minorEastAsia"/>
          <w:spacing w:val="36"/>
        </w:rPr>
        <w:t xml:space="preserve"> </w:t>
      </w:r>
      <w:r>
        <w:rPr>
          <w:rFonts w:eastAsiaTheme="minorEastAsia"/>
        </w:rPr>
        <w:t>h</w:t>
      </w:r>
      <w:r>
        <w:rPr>
          <w:rFonts w:eastAsiaTheme="minorEastAsia"/>
          <w:spacing w:val="-1"/>
        </w:rPr>
        <w:t>a</w:t>
      </w:r>
      <w:r>
        <w:rPr>
          <w:rFonts w:eastAsiaTheme="minorEastAsia"/>
        </w:rPr>
        <w:t xml:space="preserve">ve </w:t>
      </w:r>
      <w:r>
        <w:rPr>
          <w:rFonts w:eastAsiaTheme="minorEastAsia"/>
          <w:spacing w:val="-1"/>
        </w:rPr>
        <w:t>ac</w:t>
      </w:r>
      <w:r>
        <w:rPr>
          <w:rFonts w:eastAsiaTheme="minorEastAsia"/>
          <w:spacing w:val="2"/>
        </w:rPr>
        <w:t>c</w:t>
      </w:r>
      <w:r>
        <w:rPr>
          <w:rFonts w:eastAsiaTheme="minorEastAsia"/>
          <w:spacing w:val="-1"/>
        </w:rPr>
        <w:t>e</w:t>
      </w:r>
      <w:r>
        <w:rPr>
          <w:rFonts w:eastAsiaTheme="minorEastAsia"/>
        </w:rPr>
        <w:t>p</w:t>
      </w:r>
      <w:r>
        <w:rPr>
          <w:rFonts w:eastAsiaTheme="minorEastAsia"/>
          <w:spacing w:val="1"/>
        </w:rPr>
        <w:t>t</w:t>
      </w:r>
      <w:r>
        <w:rPr>
          <w:rFonts w:eastAsiaTheme="minorEastAsia"/>
          <w:spacing w:val="-1"/>
        </w:rPr>
        <w:t>e</w:t>
      </w:r>
      <w:r>
        <w:rPr>
          <w:rFonts w:eastAsiaTheme="minorEastAsia"/>
        </w:rPr>
        <w:t>d</w:t>
      </w:r>
      <w:r>
        <w:rPr>
          <w:rFonts w:eastAsiaTheme="minorEastAsia"/>
          <w:spacing w:val="-1"/>
        </w:rPr>
        <w:t xml:space="preserve"> </w:t>
      </w:r>
      <w:r>
        <w:rPr>
          <w:rFonts w:eastAsiaTheme="minorEastAsia"/>
          <w:spacing w:val="1"/>
        </w:rPr>
        <w:t>t</w:t>
      </w:r>
      <w:r>
        <w:rPr>
          <w:rFonts w:eastAsiaTheme="minorEastAsia"/>
        </w:rPr>
        <w:t>he</w:t>
      </w:r>
      <w:r>
        <w:rPr>
          <w:rFonts w:eastAsiaTheme="minorEastAsia"/>
          <w:spacing w:val="6"/>
        </w:rPr>
        <w:t xml:space="preserve"> </w:t>
      </w:r>
      <w:r>
        <w:rPr>
          <w:rFonts w:eastAsiaTheme="minorEastAsia"/>
          <w:spacing w:val="-1"/>
        </w:rPr>
        <w:t>r</w:t>
      </w:r>
      <w:r>
        <w:rPr>
          <w:rFonts w:eastAsiaTheme="minorEastAsia"/>
        </w:rPr>
        <w:t>u</w:t>
      </w:r>
      <w:r>
        <w:rPr>
          <w:rFonts w:eastAsiaTheme="minorEastAsia"/>
          <w:spacing w:val="1"/>
        </w:rPr>
        <w:t>l</w:t>
      </w:r>
      <w:r>
        <w:rPr>
          <w:rFonts w:eastAsiaTheme="minorEastAsia"/>
        </w:rPr>
        <w:t>e</w:t>
      </w:r>
      <w:r>
        <w:rPr>
          <w:rFonts w:eastAsiaTheme="minorEastAsia"/>
          <w:spacing w:val="3"/>
        </w:rPr>
        <w:t xml:space="preserve"> </w:t>
      </w:r>
      <w:r>
        <w:rPr>
          <w:rFonts w:eastAsiaTheme="minorEastAsia"/>
          <w:spacing w:val="-1"/>
        </w:rPr>
        <w:t>a</w:t>
      </w:r>
      <w:r>
        <w:rPr>
          <w:rFonts w:eastAsiaTheme="minorEastAsia"/>
        </w:rPr>
        <w:t>s</w:t>
      </w:r>
      <w:r>
        <w:rPr>
          <w:rFonts w:eastAsiaTheme="minorEastAsia"/>
          <w:spacing w:val="8"/>
        </w:rPr>
        <w:t xml:space="preserve"> </w:t>
      </w:r>
      <w:r>
        <w:rPr>
          <w:rFonts w:eastAsiaTheme="minorEastAsia"/>
        </w:rPr>
        <w:t>p</w:t>
      </w:r>
      <w:r>
        <w:rPr>
          <w:rFonts w:eastAsiaTheme="minorEastAsia"/>
          <w:spacing w:val="-1"/>
        </w:rPr>
        <w:t>ar</w:t>
      </w:r>
      <w:r>
        <w:rPr>
          <w:rFonts w:eastAsiaTheme="minorEastAsia"/>
        </w:rPr>
        <w:t>t</w:t>
      </w:r>
      <w:r>
        <w:rPr>
          <w:rFonts w:eastAsiaTheme="minorEastAsia"/>
          <w:spacing w:val="6"/>
        </w:rPr>
        <w:t xml:space="preserve"> </w:t>
      </w:r>
      <w:r>
        <w:rPr>
          <w:rFonts w:eastAsiaTheme="minorEastAsia"/>
        </w:rPr>
        <w:t>of</w:t>
      </w:r>
      <w:r>
        <w:rPr>
          <w:rFonts w:eastAsiaTheme="minorEastAsia"/>
          <w:spacing w:val="5"/>
        </w:rPr>
        <w:t xml:space="preserve"> </w:t>
      </w:r>
      <w:r>
        <w:rPr>
          <w:rFonts w:eastAsiaTheme="minorEastAsia"/>
          <w:spacing w:val="1"/>
        </w:rPr>
        <w:t>M</w:t>
      </w:r>
      <w:r>
        <w:rPr>
          <w:rFonts w:eastAsiaTheme="minorEastAsia"/>
          <w:spacing w:val="-1"/>
        </w:rPr>
        <w:t>a</w:t>
      </w:r>
      <w:r>
        <w:rPr>
          <w:rFonts w:eastAsiaTheme="minorEastAsia"/>
          <w:spacing w:val="4"/>
        </w:rPr>
        <w:t>r</w:t>
      </w:r>
      <w:r>
        <w:rPr>
          <w:rFonts w:eastAsiaTheme="minorEastAsia"/>
          <w:spacing w:val="-5"/>
        </w:rPr>
        <w:t>y</w:t>
      </w:r>
      <w:r>
        <w:rPr>
          <w:rFonts w:eastAsiaTheme="minorEastAsia"/>
          <w:spacing w:val="1"/>
        </w:rPr>
        <w:t>l</w:t>
      </w:r>
      <w:r>
        <w:rPr>
          <w:rFonts w:eastAsiaTheme="minorEastAsia"/>
          <w:spacing w:val="-1"/>
        </w:rPr>
        <w:t>a</w:t>
      </w:r>
      <w:r>
        <w:rPr>
          <w:rFonts w:eastAsiaTheme="minorEastAsia"/>
        </w:rPr>
        <w:t>n</w:t>
      </w:r>
      <w:r>
        <w:rPr>
          <w:rFonts w:eastAsiaTheme="minorEastAsia"/>
          <w:spacing w:val="3"/>
        </w:rPr>
        <w:t>d</w:t>
      </w:r>
      <w:r>
        <w:rPr>
          <w:rFonts w:eastAsiaTheme="minorEastAsia"/>
          <w:spacing w:val="-1"/>
        </w:rPr>
        <w:t>’</w:t>
      </w:r>
      <w:r>
        <w:rPr>
          <w:rFonts w:eastAsiaTheme="minorEastAsia"/>
        </w:rPr>
        <w:t>s</w:t>
      </w:r>
      <w:r>
        <w:rPr>
          <w:rFonts w:eastAsiaTheme="minorEastAsia"/>
          <w:spacing w:val="-3"/>
        </w:rPr>
        <w:t xml:space="preserve"> </w:t>
      </w:r>
      <w:r>
        <w:rPr>
          <w:rFonts w:eastAsiaTheme="minorEastAsia"/>
          <w:spacing w:val="4"/>
        </w:rPr>
        <w:t>S</w:t>
      </w:r>
      <w:r>
        <w:rPr>
          <w:rFonts w:eastAsiaTheme="minorEastAsia"/>
          <w:spacing w:val="-5"/>
        </w:rPr>
        <w:t>I</w:t>
      </w:r>
      <w:r>
        <w:rPr>
          <w:rFonts w:eastAsiaTheme="minorEastAsia"/>
        </w:rPr>
        <w:t>P</w:t>
      </w:r>
      <w:r>
        <w:rPr>
          <w:rFonts w:eastAsiaTheme="minorEastAsia"/>
          <w:spacing w:val="5"/>
        </w:rPr>
        <w:t xml:space="preserve"> </w:t>
      </w:r>
      <w:r>
        <w:rPr>
          <w:rFonts w:eastAsiaTheme="minorEastAsia"/>
        </w:rPr>
        <w:t>h</w:t>
      </w:r>
      <w:r>
        <w:rPr>
          <w:rFonts w:eastAsiaTheme="minorEastAsia"/>
          <w:spacing w:val="-1"/>
        </w:rPr>
        <w:t>a</w:t>
      </w:r>
      <w:r>
        <w:rPr>
          <w:rFonts w:eastAsiaTheme="minorEastAsia"/>
        </w:rPr>
        <w:t>d</w:t>
      </w:r>
      <w:r>
        <w:rPr>
          <w:rFonts w:eastAsiaTheme="minorEastAsia"/>
          <w:spacing w:val="4"/>
        </w:rPr>
        <w:t xml:space="preserve"> </w:t>
      </w:r>
      <w:r>
        <w:rPr>
          <w:rFonts w:eastAsiaTheme="minorEastAsia"/>
          <w:spacing w:val="3"/>
        </w:rPr>
        <w:t>it</w:t>
      </w:r>
      <w:r>
        <w:rPr>
          <w:rFonts w:eastAsiaTheme="minorEastAsia"/>
          <w:spacing w:val="2"/>
        </w:rPr>
        <w:t xml:space="preserve"> </w:t>
      </w:r>
      <w:r>
        <w:rPr>
          <w:rFonts w:eastAsiaTheme="minorEastAsia"/>
          <w:spacing w:val="-1"/>
        </w:rPr>
        <w:t>c</w:t>
      </w:r>
      <w:r>
        <w:rPr>
          <w:rFonts w:eastAsiaTheme="minorEastAsia"/>
        </w:rPr>
        <w:t>o</w:t>
      </w:r>
      <w:r>
        <w:rPr>
          <w:rFonts w:eastAsiaTheme="minorEastAsia"/>
          <w:spacing w:val="3"/>
        </w:rPr>
        <w:t>n</w:t>
      </w:r>
      <w:r>
        <w:rPr>
          <w:rFonts w:eastAsiaTheme="minorEastAsia"/>
          <w:spacing w:val="-1"/>
        </w:rPr>
        <w:t>c</w:t>
      </w:r>
      <w:r>
        <w:rPr>
          <w:rFonts w:eastAsiaTheme="minorEastAsia"/>
          <w:spacing w:val="1"/>
        </w:rPr>
        <w:t>l</w:t>
      </w:r>
      <w:r>
        <w:rPr>
          <w:rFonts w:eastAsiaTheme="minorEastAsia"/>
        </w:rPr>
        <w:t>ud</w:t>
      </w:r>
      <w:r>
        <w:rPr>
          <w:rFonts w:eastAsiaTheme="minorEastAsia"/>
          <w:spacing w:val="-1"/>
        </w:rPr>
        <w:t>e</w:t>
      </w:r>
      <w:r>
        <w:rPr>
          <w:rFonts w:eastAsiaTheme="minorEastAsia"/>
        </w:rPr>
        <w:t>d</w:t>
      </w:r>
      <w:r>
        <w:rPr>
          <w:rFonts w:eastAsiaTheme="minorEastAsia"/>
          <w:spacing w:val="-3"/>
        </w:rPr>
        <w:t xml:space="preserve"> </w:t>
      </w:r>
      <w:r>
        <w:rPr>
          <w:rFonts w:eastAsiaTheme="minorEastAsia"/>
          <w:spacing w:val="1"/>
        </w:rPr>
        <w:t>t</w:t>
      </w:r>
      <w:r>
        <w:rPr>
          <w:rFonts w:eastAsiaTheme="minorEastAsia"/>
        </w:rPr>
        <w:t>h</w:t>
      </w:r>
      <w:r>
        <w:rPr>
          <w:rFonts w:eastAsiaTheme="minorEastAsia"/>
          <w:spacing w:val="-1"/>
        </w:rPr>
        <w:t>a</w:t>
      </w:r>
      <w:r>
        <w:rPr>
          <w:rFonts w:eastAsiaTheme="minorEastAsia"/>
        </w:rPr>
        <w:t>t</w:t>
      </w:r>
      <w:r>
        <w:rPr>
          <w:rFonts w:eastAsiaTheme="minorEastAsia"/>
          <w:spacing w:val="6"/>
        </w:rPr>
        <w:t xml:space="preserve"> </w:t>
      </w:r>
      <w:r>
        <w:rPr>
          <w:rFonts w:eastAsiaTheme="minorEastAsia"/>
          <w:spacing w:val="1"/>
        </w:rPr>
        <w:t>t</w:t>
      </w:r>
      <w:r>
        <w:rPr>
          <w:rFonts w:eastAsiaTheme="minorEastAsia"/>
          <w:spacing w:val="-1"/>
        </w:rPr>
        <w:t>ec</w:t>
      </w:r>
      <w:r>
        <w:rPr>
          <w:rFonts w:eastAsiaTheme="minorEastAsia"/>
        </w:rPr>
        <w:t>hno</w:t>
      </w:r>
      <w:r>
        <w:rPr>
          <w:rFonts w:eastAsiaTheme="minorEastAsia"/>
          <w:spacing w:val="1"/>
        </w:rPr>
        <w:t>l</w:t>
      </w:r>
      <w:r>
        <w:rPr>
          <w:rFonts w:eastAsiaTheme="minorEastAsia"/>
        </w:rPr>
        <w:t>o</w:t>
      </w:r>
      <w:r>
        <w:rPr>
          <w:rFonts w:eastAsiaTheme="minorEastAsia"/>
          <w:spacing w:val="3"/>
        </w:rPr>
        <w:t>g</w:t>
      </w:r>
      <w:r>
        <w:rPr>
          <w:rFonts w:eastAsiaTheme="minorEastAsia"/>
        </w:rPr>
        <w:t>y</w:t>
      </w:r>
      <w:r>
        <w:rPr>
          <w:rFonts w:eastAsiaTheme="minorEastAsia"/>
          <w:spacing w:val="-8"/>
        </w:rPr>
        <w:t xml:space="preserve"> </w:t>
      </w:r>
      <w:r>
        <w:rPr>
          <w:rFonts w:eastAsiaTheme="minorEastAsia"/>
          <w:spacing w:val="1"/>
        </w:rPr>
        <w:t>t</w:t>
      </w:r>
      <w:r>
        <w:rPr>
          <w:rFonts w:eastAsiaTheme="minorEastAsia"/>
        </w:rPr>
        <w:t>o</w:t>
      </w:r>
      <w:r>
        <w:rPr>
          <w:rFonts w:eastAsiaTheme="minorEastAsia"/>
          <w:spacing w:val="8"/>
        </w:rPr>
        <w:t xml:space="preserve"> </w:t>
      </w:r>
      <w:r>
        <w:rPr>
          <w:rFonts w:eastAsiaTheme="minorEastAsia"/>
          <w:spacing w:val="-1"/>
        </w:rPr>
        <w:t>ca</w:t>
      </w:r>
      <w:r>
        <w:rPr>
          <w:rFonts w:eastAsiaTheme="minorEastAsia"/>
        </w:rPr>
        <w:t>p</w:t>
      </w:r>
      <w:r>
        <w:rPr>
          <w:rFonts w:eastAsiaTheme="minorEastAsia"/>
          <w:spacing w:val="1"/>
        </w:rPr>
        <w:t>t</w:t>
      </w:r>
      <w:r>
        <w:rPr>
          <w:rFonts w:eastAsiaTheme="minorEastAsia"/>
        </w:rPr>
        <w:t>u</w:t>
      </w:r>
      <w:r>
        <w:rPr>
          <w:rFonts w:eastAsiaTheme="minorEastAsia"/>
          <w:spacing w:val="2"/>
        </w:rPr>
        <w:t>r</w:t>
      </w:r>
      <w:r>
        <w:rPr>
          <w:rFonts w:eastAsiaTheme="minorEastAsia"/>
        </w:rPr>
        <w:t xml:space="preserve">e </w:t>
      </w:r>
      <w:r>
        <w:rPr>
          <w:rFonts w:eastAsiaTheme="minorEastAsia"/>
          <w:spacing w:val="-1"/>
        </w:rPr>
        <w:t>a</w:t>
      </w:r>
      <w:r>
        <w:rPr>
          <w:rFonts w:eastAsiaTheme="minorEastAsia"/>
        </w:rPr>
        <w:t>nd</w:t>
      </w:r>
      <w:r>
        <w:rPr>
          <w:rFonts w:eastAsiaTheme="minorEastAsia"/>
          <w:spacing w:val="9"/>
        </w:rPr>
        <w:t xml:space="preserve"> </w:t>
      </w:r>
      <w:r>
        <w:rPr>
          <w:rFonts w:eastAsiaTheme="minorEastAsia"/>
          <w:spacing w:val="-1"/>
        </w:rPr>
        <w:t>c</w:t>
      </w:r>
      <w:r>
        <w:rPr>
          <w:rFonts w:eastAsiaTheme="minorEastAsia"/>
        </w:rPr>
        <w:t>on</w:t>
      </w:r>
      <w:r>
        <w:rPr>
          <w:rFonts w:eastAsiaTheme="minorEastAsia"/>
          <w:spacing w:val="1"/>
        </w:rPr>
        <w:t>t</w:t>
      </w:r>
      <w:r>
        <w:rPr>
          <w:rFonts w:eastAsiaTheme="minorEastAsia"/>
          <w:spacing w:val="-1"/>
        </w:rPr>
        <w:t>r</w:t>
      </w:r>
      <w:r>
        <w:rPr>
          <w:rFonts w:eastAsiaTheme="minorEastAsia"/>
        </w:rPr>
        <w:t>ol</w:t>
      </w:r>
      <w:r>
        <w:rPr>
          <w:rFonts w:eastAsiaTheme="minorEastAsia"/>
          <w:spacing w:val="6"/>
        </w:rPr>
        <w:t xml:space="preserve"> </w:t>
      </w:r>
      <w:r>
        <w:rPr>
          <w:rFonts w:eastAsiaTheme="minorEastAsia"/>
          <w:spacing w:val="-1"/>
        </w:rPr>
        <w:t>a</w:t>
      </w:r>
      <w:r>
        <w:rPr>
          <w:rFonts w:eastAsiaTheme="minorEastAsia"/>
          <w:spacing w:val="-2"/>
        </w:rPr>
        <w:t>g</w:t>
      </w:r>
      <w:r>
        <w:rPr>
          <w:rFonts w:eastAsiaTheme="minorEastAsia"/>
          <w:spacing w:val="1"/>
        </w:rPr>
        <w:t>i</w:t>
      </w:r>
      <w:r>
        <w:rPr>
          <w:rFonts w:eastAsiaTheme="minorEastAsia"/>
          <w:spacing w:val="3"/>
        </w:rPr>
        <w:t>n</w:t>
      </w:r>
      <w:r>
        <w:rPr>
          <w:rFonts w:eastAsiaTheme="minorEastAsia"/>
        </w:rPr>
        <w:t>g</w:t>
      </w:r>
      <w:r>
        <w:rPr>
          <w:rFonts w:eastAsiaTheme="minorEastAsia"/>
          <w:spacing w:val="5"/>
        </w:rPr>
        <w:t xml:space="preserve"> </w:t>
      </w:r>
      <w:r>
        <w:rPr>
          <w:rFonts w:eastAsiaTheme="minorEastAsia"/>
          <w:spacing w:val="-1"/>
        </w:rPr>
        <w:t>e</w:t>
      </w:r>
      <w:r>
        <w:rPr>
          <w:rFonts w:eastAsiaTheme="minorEastAsia"/>
          <w:spacing w:val="1"/>
        </w:rPr>
        <w:t>mi</w:t>
      </w:r>
      <w:r>
        <w:rPr>
          <w:rFonts w:eastAsiaTheme="minorEastAsia"/>
        </w:rPr>
        <w:t>ss</w:t>
      </w:r>
      <w:r>
        <w:rPr>
          <w:rFonts w:eastAsiaTheme="minorEastAsia"/>
          <w:spacing w:val="1"/>
        </w:rPr>
        <w:t>i</w:t>
      </w:r>
      <w:r>
        <w:rPr>
          <w:rFonts w:eastAsiaTheme="minorEastAsia"/>
        </w:rPr>
        <w:t>ons</w:t>
      </w:r>
      <w:r>
        <w:rPr>
          <w:rFonts w:eastAsiaTheme="minorEastAsia"/>
          <w:spacing w:val="3"/>
        </w:rPr>
        <w:t xml:space="preserve"> </w:t>
      </w:r>
      <w:r>
        <w:rPr>
          <w:rFonts w:eastAsiaTheme="minorEastAsia"/>
        </w:rPr>
        <w:t>w</w:t>
      </w:r>
      <w:r>
        <w:rPr>
          <w:rFonts w:eastAsiaTheme="minorEastAsia"/>
          <w:spacing w:val="-1"/>
        </w:rPr>
        <w:t>a</w:t>
      </w:r>
      <w:r>
        <w:rPr>
          <w:rFonts w:eastAsiaTheme="minorEastAsia"/>
        </w:rPr>
        <w:t>s</w:t>
      </w:r>
      <w:r>
        <w:rPr>
          <w:rFonts w:eastAsiaTheme="minorEastAsia"/>
          <w:spacing w:val="8"/>
        </w:rPr>
        <w:t xml:space="preserve"> </w:t>
      </w:r>
      <w:r>
        <w:rPr>
          <w:rFonts w:eastAsiaTheme="minorEastAsia"/>
          <w:spacing w:val="-1"/>
        </w:rPr>
        <w:t>rea</w:t>
      </w:r>
      <w:r>
        <w:rPr>
          <w:rFonts w:eastAsiaTheme="minorEastAsia"/>
        </w:rPr>
        <w:t>son</w:t>
      </w:r>
      <w:r>
        <w:rPr>
          <w:rFonts w:eastAsiaTheme="minorEastAsia"/>
          <w:spacing w:val="-1"/>
        </w:rPr>
        <w:t>a</w:t>
      </w:r>
      <w:r>
        <w:rPr>
          <w:rFonts w:eastAsiaTheme="minorEastAsia"/>
        </w:rPr>
        <w:t>b</w:t>
      </w:r>
      <w:r>
        <w:rPr>
          <w:rFonts w:eastAsiaTheme="minorEastAsia"/>
          <w:spacing w:val="6"/>
        </w:rPr>
        <w:t>l</w:t>
      </w:r>
      <w:r>
        <w:rPr>
          <w:rFonts w:eastAsiaTheme="minorEastAsia"/>
        </w:rPr>
        <w:t>y</w:t>
      </w:r>
      <w:r>
        <w:rPr>
          <w:rFonts w:eastAsiaTheme="minorEastAsia"/>
          <w:spacing w:val="-3"/>
        </w:rPr>
        <w:t xml:space="preserve"> </w:t>
      </w:r>
      <w:r>
        <w:rPr>
          <w:rFonts w:eastAsiaTheme="minorEastAsia"/>
          <w:spacing w:val="-1"/>
        </w:rPr>
        <w:t>a</w:t>
      </w:r>
      <w:r>
        <w:rPr>
          <w:rFonts w:eastAsiaTheme="minorEastAsia"/>
        </w:rPr>
        <w:t>v</w:t>
      </w:r>
      <w:r>
        <w:rPr>
          <w:rFonts w:eastAsiaTheme="minorEastAsia"/>
          <w:spacing w:val="-1"/>
        </w:rPr>
        <w:t>a</w:t>
      </w:r>
      <w:r>
        <w:rPr>
          <w:rFonts w:eastAsiaTheme="minorEastAsia"/>
          <w:spacing w:val="1"/>
        </w:rPr>
        <w:t>i</w:t>
      </w:r>
      <w:r>
        <w:rPr>
          <w:rFonts w:eastAsiaTheme="minorEastAsia"/>
          <w:spacing w:val="3"/>
        </w:rPr>
        <w:t>l</w:t>
      </w:r>
      <w:r>
        <w:rPr>
          <w:rFonts w:eastAsiaTheme="minorEastAsia"/>
          <w:spacing w:val="-1"/>
        </w:rPr>
        <w:t>a</w:t>
      </w:r>
      <w:r>
        <w:rPr>
          <w:rFonts w:eastAsiaTheme="minorEastAsia"/>
        </w:rPr>
        <w:t>bl</w:t>
      </w:r>
      <w:r>
        <w:rPr>
          <w:rFonts w:eastAsiaTheme="minorEastAsia"/>
          <w:spacing w:val="-1"/>
        </w:rPr>
        <w:t>e</w:t>
      </w:r>
      <w:r>
        <w:rPr>
          <w:rFonts w:eastAsiaTheme="minorEastAsia"/>
        </w:rPr>
        <w:t>.  To the contrary, for decades, EPA has consistently determined that emissions from aging of distilled spirits, like whiskey and rum, cannot reasonably be captured due to costs and the negative impact on product quality.</w:t>
      </w:r>
      <w:r>
        <w:rPr>
          <w:rFonts w:eastAsiaTheme="minorEastAsia"/>
        </w:rPr>
        <w:t xml:space="preserve">  </w:t>
      </w:r>
      <w:r>
        <w:rPr>
          <w:rFonts w:eastAsiaTheme="minorEastAsia"/>
          <w:i/>
        </w:rPr>
        <w:t>See supra</w:t>
      </w:r>
      <w:r>
        <w:rPr>
          <w:rFonts w:eastAsiaTheme="minorEastAsia"/>
        </w:rPr>
        <w:t xml:space="preserve"> at 6.</w:t>
      </w:r>
    </w:p>
    <w:p w:rsidR="00487786" w:rsidRDefault="009C73ED">
      <w:pPr>
        <w:autoSpaceDE w:val="0"/>
        <w:autoSpaceDN w:val="0"/>
        <w:adjustRightInd w:val="0"/>
        <w:spacing w:line="480" w:lineRule="auto"/>
        <w:ind w:left="43" w:right="-14"/>
        <w:rPr>
          <w:rFonts w:eastAsiaTheme="minorEastAsia"/>
        </w:rPr>
      </w:pPr>
      <w:r>
        <w:rPr>
          <w:rFonts w:eastAsiaTheme="minorEastAsia"/>
        </w:rPr>
        <w:tab/>
        <w:t xml:space="preserve">In seeking to impose a newfound duty on Defendants and their rum-aging facilities—contrary to centuries of practice in the </w:t>
      </w:r>
      <w:proofErr w:type="spellStart"/>
      <w:r>
        <w:rPr>
          <w:rFonts w:eastAsiaTheme="minorEastAsia"/>
        </w:rPr>
        <w:t>USVI</w:t>
      </w:r>
      <w:proofErr w:type="spellEnd"/>
      <w:r>
        <w:rPr>
          <w:rFonts w:eastAsiaTheme="minorEastAsia"/>
        </w:rPr>
        <w:t xml:space="preserve"> and the views of the EPA—Plaintiffs point to the fact that brandy makers in an area of California now utilize </w:t>
      </w:r>
      <w:proofErr w:type="spellStart"/>
      <w:r>
        <w:rPr>
          <w:rFonts w:eastAsiaTheme="minorEastAsia"/>
        </w:rPr>
        <w:t>RTO</w:t>
      </w:r>
      <w:proofErr w:type="spellEnd"/>
      <w:r>
        <w:rPr>
          <w:rFonts w:eastAsiaTheme="minorEastAsia"/>
        </w:rPr>
        <w:t xml:space="preserve"> technology in response to regulation by a local agency, the San Joaquin Valley Unified Air Pollution Control District (“</w:t>
      </w:r>
      <w:proofErr w:type="spellStart"/>
      <w:r>
        <w:rPr>
          <w:rFonts w:eastAsiaTheme="minorEastAsia"/>
        </w:rPr>
        <w:t>SJVUAPCD</w:t>
      </w:r>
      <w:proofErr w:type="spellEnd"/>
      <w:r>
        <w:rPr>
          <w:rFonts w:eastAsiaTheme="minorEastAsia"/>
        </w:rPr>
        <w:t xml:space="preserve">”).  </w:t>
      </w:r>
      <w:r>
        <w:rPr>
          <w:rFonts w:eastAsiaTheme="minorEastAsia"/>
          <w:i/>
        </w:rPr>
        <w:t>See, e.g</w:t>
      </w:r>
      <w:r>
        <w:rPr>
          <w:rFonts w:eastAsiaTheme="minorEastAsia"/>
          <w:i/>
        </w:rPr>
        <w:t>.</w:t>
      </w:r>
      <w:r>
        <w:rPr>
          <w:rFonts w:eastAsiaTheme="minorEastAsia"/>
        </w:rPr>
        <w:t>,</w:t>
      </w:r>
      <w:r>
        <w:rPr>
          <w:rFonts w:eastAsiaTheme="minorEastAsia"/>
          <w:i/>
        </w:rPr>
        <w:t xml:space="preserve"> </w:t>
      </w:r>
      <w:proofErr w:type="spellStart"/>
      <w:r>
        <w:rPr>
          <w:rFonts w:eastAsiaTheme="minorEastAsia"/>
        </w:rPr>
        <w:t>Compl</w:t>
      </w:r>
      <w:proofErr w:type="spellEnd"/>
      <w:r>
        <w:rPr>
          <w:rFonts w:eastAsiaTheme="minorEastAsia"/>
        </w:rPr>
        <w:t xml:space="preserve">. ¶ 144.  </w:t>
      </w:r>
      <w:bookmarkStart w:id="121" w:name="_MD_Rev86"/>
      <w:bookmarkEnd w:id="121"/>
      <w:r>
        <w:rPr>
          <w:rFonts w:eastAsiaTheme="minorEastAsia"/>
        </w:rPr>
        <w:t xml:space="preserve">But there is nothing in the Complaint to </w:t>
      </w:r>
      <w:r>
        <w:rPr>
          <w:rFonts w:eastAsiaTheme="minorEastAsia"/>
          <w:i/>
        </w:rPr>
        <w:t xml:space="preserve">plausibly </w:t>
      </w:r>
      <w:r>
        <w:rPr>
          <w:rFonts w:eastAsiaTheme="minorEastAsia"/>
        </w:rPr>
        <w:t xml:space="preserve">suggest that implementation of </w:t>
      </w:r>
      <w:proofErr w:type="spellStart"/>
      <w:r>
        <w:rPr>
          <w:rFonts w:eastAsiaTheme="minorEastAsia"/>
        </w:rPr>
        <w:t>RTO</w:t>
      </w:r>
      <w:proofErr w:type="spellEnd"/>
      <w:r>
        <w:rPr>
          <w:rFonts w:eastAsiaTheme="minorEastAsia"/>
        </w:rPr>
        <w:t xml:space="preserve"> technology by makers of a separate product in a far-away locality is relevant—much less controlling—with respect to the feasibility of using </w:t>
      </w:r>
      <w:proofErr w:type="spellStart"/>
      <w:r>
        <w:rPr>
          <w:rFonts w:eastAsiaTheme="minorEastAsia"/>
        </w:rPr>
        <w:t>RTO</w:t>
      </w:r>
      <w:proofErr w:type="spellEnd"/>
      <w:r>
        <w:rPr>
          <w:rFonts w:eastAsiaTheme="minorEastAsia"/>
        </w:rPr>
        <w:t xml:space="preserve"> technol</w:t>
      </w:r>
      <w:r>
        <w:rPr>
          <w:rFonts w:eastAsiaTheme="minorEastAsia"/>
        </w:rPr>
        <w:t xml:space="preserve">ogy for rum aging in the </w:t>
      </w:r>
      <w:proofErr w:type="spellStart"/>
      <w:r>
        <w:rPr>
          <w:rFonts w:eastAsiaTheme="minorEastAsia"/>
        </w:rPr>
        <w:t>USVI</w:t>
      </w:r>
      <w:proofErr w:type="spellEnd"/>
      <w:r>
        <w:rPr>
          <w:rFonts w:eastAsiaTheme="minorEastAsia"/>
        </w:rPr>
        <w:t>.</w:t>
      </w:r>
      <w:r>
        <w:rPr>
          <w:rStyle w:val="FootnoteReference"/>
          <w:rFonts w:eastAsiaTheme="minorEastAsia"/>
        </w:rPr>
        <w:footnoteReference w:id="14"/>
      </w:r>
      <w:r>
        <w:rPr>
          <w:rFonts w:eastAsiaTheme="minorEastAsia"/>
        </w:rPr>
        <w:t xml:space="preserve">  </w:t>
      </w:r>
    </w:p>
    <w:p w:rsidR="00487786" w:rsidRDefault="009C73ED">
      <w:pPr>
        <w:autoSpaceDE w:val="0"/>
        <w:autoSpaceDN w:val="0"/>
        <w:adjustRightInd w:val="0"/>
        <w:spacing w:line="480" w:lineRule="auto"/>
        <w:ind w:left="43" w:right="-14"/>
        <w:rPr>
          <w:rFonts w:eastAsiaTheme="minorEastAsia"/>
        </w:rPr>
      </w:pPr>
      <w:r>
        <w:rPr>
          <w:rFonts w:eastAsiaTheme="minorEastAsia"/>
        </w:rPr>
        <w:lastRenderedPageBreak/>
        <w:tab/>
        <w:t xml:space="preserve">The </w:t>
      </w:r>
      <w:r>
        <w:rPr>
          <w:rFonts w:eastAsiaTheme="minorEastAsia"/>
          <w:i/>
        </w:rPr>
        <w:t xml:space="preserve">Restatement Third’s </w:t>
      </w:r>
      <w:r>
        <w:rPr>
          <w:rFonts w:eastAsiaTheme="minorEastAsia"/>
        </w:rPr>
        <w:t>instructions on when, and when not, to recognize a duty also caution against this Court recognizing the new duty that Plaintiffs seek.</w:t>
      </w:r>
      <w:r>
        <w:rPr>
          <w:rStyle w:val="FootnoteReference"/>
          <w:rFonts w:eastAsiaTheme="minorEastAsia"/>
        </w:rPr>
        <w:footnoteReference w:id="15"/>
      </w:r>
      <w:r>
        <w:rPr>
          <w:rFonts w:eastAsiaTheme="minorEastAsia"/>
        </w:rPr>
        <w:t xml:space="preserve">  Comment g. to § 7 (entitled “Duty”) provides:  </w:t>
      </w:r>
    </w:p>
    <w:p w:rsidR="00487786" w:rsidRDefault="009C73ED">
      <w:pPr>
        <w:autoSpaceDE w:val="0"/>
        <w:autoSpaceDN w:val="0"/>
        <w:adjustRightInd w:val="0"/>
        <w:ind w:left="720" w:right="720"/>
        <w:rPr>
          <w:rFonts w:eastAsiaTheme="minorEastAsia"/>
        </w:rPr>
      </w:pPr>
      <w:r>
        <w:rPr>
          <w:rFonts w:eastAsiaTheme="minorEastAsia"/>
        </w:rPr>
        <w:t xml:space="preserve">g. </w:t>
      </w:r>
      <w:r>
        <w:rPr>
          <w:rFonts w:eastAsiaTheme="minorEastAsia"/>
          <w:i/>
        </w:rPr>
        <w:t>Deference</w:t>
      </w:r>
      <w:r>
        <w:rPr>
          <w:rFonts w:eastAsiaTheme="minorEastAsia"/>
          <w:i/>
        </w:rPr>
        <w:t xml:space="preserve"> to discretionary decisions of another branch of government</w:t>
      </w:r>
      <w:r>
        <w:rPr>
          <w:rFonts w:eastAsiaTheme="minorEastAsia"/>
        </w:rPr>
        <w:t xml:space="preserve">.  Courts employ no-duty rules to defer to discretionary decisions made by officials from other branches of government, especially decisions that allocate resources or make other policy judgments. </w:t>
      </w:r>
      <w:r>
        <w:rPr>
          <w:rFonts w:eastAsiaTheme="minorEastAsia"/>
        </w:rPr>
        <w:t xml:space="preserve"> Courts often use the rubric of duty to hold that it is inappropriate to review these decisions in lawsuits. </w:t>
      </w:r>
    </w:p>
    <w:p w:rsidR="00487786" w:rsidRDefault="00487786">
      <w:pPr>
        <w:autoSpaceDE w:val="0"/>
        <w:autoSpaceDN w:val="0"/>
        <w:adjustRightInd w:val="0"/>
        <w:ind w:left="720" w:right="-14"/>
        <w:rPr>
          <w:rFonts w:eastAsiaTheme="minorEastAsia"/>
        </w:rPr>
      </w:pPr>
    </w:p>
    <w:p w:rsidR="00487786" w:rsidRDefault="009C73ED">
      <w:pPr>
        <w:autoSpaceDE w:val="0"/>
        <w:autoSpaceDN w:val="0"/>
        <w:adjustRightInd w:val="0"/>
        <w:spacing w:line="480" w:lineRule="auto"/>
        <w:ind w:left="43" w:right="-14"/>
        <w:rPr>
          <w:i/>
        </w:rPr>
      </w:pPr>
      <w:r>
        <w:rPr>
          <w:rFonts w:eastAsiaTheme="minorEastAsia"/>
        </w:rPr>
        <w:t xml:space="preserve">In addition, </w:t>
      </w:r>
      <w:r>
        <w:t>Comment f. to § 7 states:</w:t>
      </w:r>
    </w:p>
    <w:p w:rsidR="00487786" w:rsidRDefault="009C73ED">
      <w:pPr>
        <w:spacing w:after="200"/>
        <w:ind w:left="720" w:right="720"/>
      </w:pPr>
      <w:r>
        <w:rPr>
          <w:i/>
        </w:rPr>
        <w:t xml:space="preserve">f. Institutional competence and administrative difficulties.  </w:t>
      </w:r>
      <w:r>
        <w:t>Sometimes a particular category of negligenc</w:t>
      </w:r>
      <w:r>
        <w:t>e claims would be difficult for courts to adjudicate.  Courts may have difficulty gathering evidence or drawing doctrinal lines necessary to adjudicate certain categories of cases.  These administrative concerns may support adopting a no-duty rule.  For ex</w:t>
      </w:r>
      <w:r>
        <w:t>ample, when a plaintiff claims that it is negligent merely to engage in the activity of manufacturing a product, the competing social concerns and affected groups would be appropriate considerations for a court in deciding to adopt a no-duty rule.</w:t>
      </w:r>
    </w:p>
    <w:p w:rsidR="00487786" w:rsidRDefault="009C73ED">
      <w:pPr>
        <w:autoSpaceDE w:val="0"/>
        <w:autoSpaceDN w:val="0"/>
        <w:adjustRightInd w:val="0"/>
        <w:spacing w:line="480" w:lineRule="auto"/>
        <w:ind w:left="43" w:right="-14"/>
        <w:rPr>
          <w:rFonts w:eastAsiaTheme="minorEastAsia"/>
        </w:rPr>
      </w:pPr>
      <w:r>
        <w:rPr>
          <w:rFonts w:eastAsiaTheme="minorEastAsia"/>
        </w:rPr>
        <w:t xml:space="preserve">In this </w:t>
      </w:r>
      <w:r>
        <w:rPr>
          <w:rFonts w:eastAsiaTheme="minorEastAsia"/>
        </w:rPr>
        <w:t xml:space="preserve">case, as described in detail above, the question of whether Defendants  should be required to implement capture and control technology—much less a specific type of technology—has been committed by Congress to the expert federal and state agencies pursuant </w:t>
      </w:r>
      <w:r>
        <w:rPr>
          <w:rFonts w:eastAsiaTheme="minorEastAsia"/>
        </w:rPr>
        <w:t xml:space="preserve">to the </w:t>
      </w:r>
      <w:proofErr w:type="spellStart"/>
      <w:r>
        <w:rPr>
          <w:rFonts w:eastAsiaTheme="minorEastAsia"/>
        </w:rPr>
        <w:t>CAA</w:t>
      </w:r>
      <w:proofErr w:type="spellEnd"/>
      <w:r>
        <w:rPr>
          <w:rFonts w:eastAsiaTheme="minorEastAsia"/>
        </w:rPr>
        <w:t xml:space="preserve"> for many of the reasons identified in these Comments.  </w:t>
      </w:r>
      <w:r>
        <w:rPr>
          <w:rFonts w:eastAsiaTheme="minorEastAsia"/>
          <w:i/>
        </w:rPr>
        <w:t xml:space="preserve">See </w:t>
      </w:r>
      <w:proofErr w:type="spellStart"/>
      <w:r>
        <w:rPr>
          <w:rFonts w:eastAsiaTheme="minorEastAsia"/>
          <w:i/>
        </w:rPr>
        <w:t>AEP</w:t>
      </w:r>
      <w:proofErr w:type="spellEnd"/>
      <w:r>
        <w:rPr>
          <w:rFonts w:eastAsiaTheme="minorEastAsia"/>
        </w:rPr>
        <w:t>, 131 S. Ct. at 2539-40 (discussing reasons why “[t]he expert agency is surely better equipped to do the job [of regulating air emissions] than individual district judges issuing ad h</w:t>
      </w:r>
      <w:r>
        <w:rPr>
          <w:rFonts w:eastAsiaTheme="minorEastAsia"/>
        </w:rPr>
        <w:t xml:space="preserve">oc, case-by-case injunctions”).  And Congress’ choice makes sense.  These </w:t>
      </w:r>
      <w:r>
        <w:rPr>
          <w:rFonts w:eastAsiaTheme="minorEastAsia"/>
        </w:rPr>
        <w:lastRenderedPageBreak/>
        <w:t xml:space="preserve">agencies, and not a generalist court, are better suited to address the complex scientific and policy questions underlying this issue.  </w:t>
      </w:r>
    </w:p>
    <w:p w:rsidR="00487786" w:rsidRDefault="009C73ED">
      <w:pPr>
        <w:autoSpaceDE w:val="0"/>
        <w:autoSpaceDN w:val="0"/>
        <w:adjustRightInd w:val="0"/>
        <w:spacing w:line="480" w:lineRule="auto"/>
        <w:ind w:left="43" w:right="-14" w:firstLine="677"/>
        <w:rPr>
          <w:rFonts w:eastAsiaTheme="minorEastAsia"/>
        </w:rPr>
      </w:pPr>
      <w:r>
        <w:rPr>
          <w:rFonts w:eastAsiaTheme="minorEastAsia"/>
        </w:rPr>
        <w:t>For example:  Will capture and control technology disrupt the rum-aging process, as EPA previously has recognized?  How much ethanol must be captured to prevent the alleged “rum mold”?  What type of capture and control technology will be required?  At what</w:t>
      </w:r>
      <w:r>
        <w:rPr>
          <w:rFonts w:eastAsiaTheme="minorEastAsia"/>
        </w:rPr>
        <w:t xml:space="preserve"> cost?  What if the capture does, as anticipated, have negative impacts on product quality or characteristics and thus sales?  What are the potential implications on the St. Croix economy and other competing social concerns?  These questions beg for the ju</w:t>
      </w:r>
      <w:r>
        <w:rPr>
          <w:rFonts w:eastAsiaTheme="minorEastAsia"/>
        </w:rPr>
        <w:t xml:space="preserve">dgment of an expert agency acting through the notice and comment and permitting processes—not courts imposing newfound “duties” and injunctions based on amorphous common-law standards and a limited factual record.  </w:t>
      </w:r>
    </w:p>
    <w:p w:rsidR="00487786" w:rsidRDefault="009C73ED">
      <w:pPr>
        <w:autoSpaceDE w:val="0"/>
        <w:autoSpaceDN w:val="0"/>
        <w:adjustRightInd w:val="0"/>
        <w:spacing w:line="480" w:lineRule="auto"/>
        <w:ind w:left="43" w:right="-14"/>
      </w:pPr>
      <w:r>
        <w:rPr>
          <w:rFonts w:eastAsiaTheme="minorEastAsia"/>
        </w:rPr>
        <w:tab/>
      </w:r>
      <w:r>
        <w:t>Moreover, Plaintiffs’ Complaint does no</w:t>
      </w:r>
      <w:r>
        <w:t xml:space="preserve">t address—much less plausibly rebut—the “competing social concerns and affected groups” that weigh heavily in favor of this Court adopting a no-duty rule.  </w:t>
      </w:r>
      <w:r>
        <w:rPr>
          <w:i/>
        </w:rPr>
        <w:t xml:space="preserve">See Restatement Third </w:t>
      </w:r>
      <w:r>
        <w:t xml:space="preserve">§ 7 </w:t>
      </w:r>
      <w:proofErr w:type="spellStart"/>
      <w:r>
        <w:t>cmt</w:t>
      </w:r>
      <w:proofErr w:type="spellEnd"/>
      <w:r>
        <w:t>. f.  These factors include:  (1) the importance of the rum industry to</w:t>
      </w:r>
      <w:r>
        <w:t xml:space="preserve"> the economy of the Virgin Islands, (2) the history of rum production on St. Croix, (3) the long-established methodologies for aging rum, which Plaintiffs seek to alter; and (4) Defendants’ expectation interests based on the lack of any capture and control</w:t>
      </w:r>
      <w:r>
        <w:t xml:space="preserve"> requirement in their permits.  </w:t>
      </w:r>
    </w:p>
    <w:p w:rsidR="00487786" w:rsidRDefault="009C73ED">
      <w:pPr>
        <w:spacing w:line="480" w:lineRule="auto"/>
      </w:pPr>
      <w:r>
        <w:tab/>
        <w:t xml:space="preserve">In summary, Plaintiffs’ Complaint fails to plead facts to plausibly support Plaintiffs’ proposed new duty and, in these circumstances, the </w:t>
      </w:r>
      <w:r>
        <w:rPr>
          <w:i/>
        </w:rPr>
        <w:t>Restatement Third</w:t>
      </w:r>
      <w:r>
        <w:t xml:space="preserve"> cautions this </w:t>
      </w:r>
      <w:r>
        <w:lastRenderedPageBreak/>
        <w:t>Court against recognition of such a duty.  Plaintif</w:t>
      </w:r>
      <w:r>
        <w:t>fs’ claim of negligence should be dismissed.</w:t>
      </w:r>
      <w:r>
        <w:rPr>
          <w:rStyle w:val="FootnoteReference"/>
        </w:rPr>
        <w:footnoteReference w:id="16"/>
      </w:r>
    </w:p>
    <w:p w:rsidR="00487786" w:rsidRDefault="009C73ED">
      <w:pPr>
        <w:spacing w:line="480" w:lineRule="auto"/>
        <w:rPr>
          <w:b/>
        </w:rPr>
      </w:pPr>
      <w:r>
        <w:rPr>
          <w:b/>
        </w:rPr>
        <w:tab/>
      </w:r>
      <w:r>
        <w:rPr>
          <w:b/>
        </w:rPr>
        <w:tab/>
        <w:t>2.</w:t>
      </w:r>
      <w:r>
        <w:rPr>
          <w:b/>
        </w:rPr>
        <w:tab/>
        <w:t>Plaintiffs Have Not Plausibly Pled A Nuisance Claim</w:t>
      </w:r>
    </w:p>
    <w:p w:rsidR="00487786" w:rsidRDefault="009C73ED">
      <w:pPr>
        <w:spacing w:line="480" w:lineRule="auto"/>
        <w:rPr>
          <w:rFonts w:eastAsia="Calibri"/>
          <w:lang w:eastAsia="en-US"/>
        </w:rPr>
      </w:pPr>
      <w:r>
        <w:tab/>
        <w:t>In order to plausibly plead a nuisance claim (Count II), Plaintiffs must plead facts showing an invasion is “</w:t>
      </w:r>
      <w:r>
        <w:rPr>
          <w:rFonts w:eastAsia="Calibri"/>
          <w:lang w:eastAsia="en-US"/>
        </w:rPr>
        <w:t xml:space="preserve">unreasonable.”  </w:t>
      </w:r>
      <w:r>
        <w:rPr>
          <w:rFonts w:eastAsia="Calibri"/>
          <w:i/>
          <w:lang w:eastAsia="en-US"/>
        </w:rPr>
        <w:t xml:space="preserve">Bermudez v. Virgin Islands </w:t>
      </w:r>
      <w:r>
        <w:rPr>
          <w:rFonts w:eastAsia="Calibri"/>
          <w:i/>
          <w:lang w:eastAsia="en-US"/>
        </w:rPr>
        <w:t>Telephone Corp.</w:t>
      </w:r>
      <w:r>
        <w:rPr>
          <w:rFonts w:eastAsia="Calibri"/>
          <w:lang w:eastAsia="en-US"/>
        </w:rPr>
        <w:t xml:space="preserve">, No. </w:t>
      </w:r>
      <w:proofErr w:type="spellStart"/>
      <w:r>
        <w:rPr>
          <w:rFonts w:eastAsia="Calibri"/>
          <w:lang w:eastAsia="en-US"/>
        </w:rPr>
        <w:t>SX</w:t>
      </w:r>
      <w:proofErr w:type="spellEnd"/>
      <w:r>
        <w:rPr>
          <w:rFonts w:eastAsia="Calibri"/>
          <w:lang w:eastAsia="en-US"/>
        </w:rPr>
        <w:t>-10-CV-298, 2011 WL 321000, at *10 (</w:t>
      </w:r>
      <w:proofErr w:type="spellStart"/>
      <w:r>
        <w:rPr>
          <w:rFonts w:eastAsia="Calibri"/>
          <w:lang w:eastAsia="en-US"/>
        </w:rPr>
        <w:t>V.I</w:t>
      </w:r>
      <w:proofErr w:type="spellEnd"/>
      <w:r>
        <w:rPr>
          <w:rFonts w:eastAsia="Calibri"/>
          <w:lang w:eastAsia="en-US"/>
        </w:rPr>
        <w:t xml:space="preserve">. Super. Jan. 20, 2011) (citing </w:t>
      </w:r>
      <w:r>
        <w:rPr>
          <w:rFonts w:eastAsia="Calibri"/>
          <w:i/>
          <w:lang w:eastAsia="en-US"/>
        </w:rPr>
        <w:t>Restatement (Second) of Torts</w:t>
      </w:r>
      <w:r>
        <w:rPr>
          <w:rFonts w:eastAsia="Calibri"/>
          <w:lang w:eastAsia="en-US"/>
        </w:rPr>
        <w:t xml:space="preserve"> § 822 (1979) (internal citations omitted)).  Here, Plaintiffs attempt to plead this element of their claim by alleging that “[r]</w:t>
      </w:r>
      <w:proofErr w:type="spellStart"/>
      <w:r>
        <w:rPr>
          <w:rFonts w:eastAsia="Calibri"/>
          <w:lang w:eastAsia="en-US"/>
        </w:rPr>
        <w:t>easo</w:t>
      </w:r>
      <w:r>
        <w:rPr>
          <w:rFonts w:eastAsia="Calibri"/>
          <w:lang w:eastAsia="en-US"/>
        </w:rPr>
        <w:t>nable</w:t>
      </w:r>
      <w:proofErr w:type="spellEnd"/>
      <w:r>
        <w:rPr>
          <w:rFonts w:eastAsia="Calibri"/>
          <w:lang w:eastAsia="en-US"/>
        </w:rPr>
        <w:t xml:space="preserve"> and cost effective emissions control technology exists” (</w:t>
      </w:r>
      <w:proofErr w:type="spellStart"/>
      <w:r>
        <w:rPr>
          <w:rFonts w:eastAsia="Calibri"/>
          <w:lang w:eastAsia="en-US"/>
        </w:rPr>
        <w:t>Compl</w:t>
      </w:r>
      <w:proofErr w:type="spellEnd"/>
      <w:r>
        <w:rPr>
          <w:rFonts w:eastAsia="Calibri"/>
          <w:lang w:eastAsia="en-US"/>
        </w:rPr>
        <w:t>. ¶ 29) and that “Defendants’ ethanol emissions can be corrected or abated at reasonable expense” (</w:t>
      </w:r>
      <w:proofErr w:type="spellStart"/>
      <w:r>
        <w:rPr>
          <w:rFonts w:eastAsia="Calibri"/>
          <w:lang w:eastAsia="en-US"/>
        </w:rPr>
        <w:t>Compl</w:t>
      </w:r>
      <w:proofErr w:type="spellEnd"/>
      <w:r>
        <w:rPr>
          <w:rFonts w:eastAsia="Calibri"/>
          <w:lang w:eastAsia="en-US"/>
        </w:rPr>
        <w:t xml:space="preserve">. ¶ 88).  When these </w:t>
      </w:r>
      <w:proofErr w:type="spellStart"/>
      <w:r>
        <w:rPr>
          <w:rFonts w:eastAsia="Calibri"/>
          <w:lang w:eastAsia="en-US"/>
        </w:rPr>
        <w:t>conclusory</w:t>
      </w:r>
      <w:proofErr w:type="spellEnd"/>
      <w:r>
        <w:rPr>
          <w:rFonts w:eastAsia="Calibri"/>
          <w:lang w:eastAsia="en-US"/>
        </w:rPr>
        <w:t xml:space="preserve"> allegations are disregarded, as the U.S. Supreme Cou</w:t>
      </w:r>
      <w:r>
        <w:rPr>
          <w:rFonts w:eastAsia="Calibri"/>
          <w:lang w:eastAsia="en-US"/>
        </w:rPr>
        <w:t xml:space="preserve">rt commanded in </w:t>
      </w:r>
      <w:proofErr w:type="spellStart"/>
      <w:r>
        <w:rPr>
          <w:rFonts w:eastAsia="Calibri"/>
          <w:i/>
          <w:lang w:eastAsia="en-US"/>
        </w:rPr>
        <w:t>Twombly</w:t>
      </w:r>
      <w:proofErr w:type="spellEnd"/>
      <w:r>
        <w:rPr>
          <w:rFonts w:eastAsia="Calibri"/>
          <w:lang w:eastAsia="en-US"/>
        </w:rPr>
        <w:t xml:space="preserve"> and </w:t>
      </w:r>
      <w:proofErr w:type="spellStart"/>
      <w:r>
        <w:rPr>
          <w:rFonts w:eastAsia="Calibri"/>
          <w:i/>
          <w:lang w:eastAsia="en-US"/>
        </w:rPr>
        <w:t>Iqbal</w:t>
      </w:r>
      <w:proofErr w:type="spellEnd"/>
      <w:r>
        <w:rPr>
          <w:rFonts w:eastAsia="Calibri"/>
          <w:i/>
          <w:lang w:eastAsia="en-US"/>
        </w:rPr>
        <w:t xml:space="preserve">, and </w:t>
      </w:r>
      <w:r>
        <w:rPr>
          <w:rFonts w:eastAsia="Calibri"/>
          <w:lang w:eastAsia="en-US"/>
        </w:rPr>
        <w:t>Judge Gomez confirmed in</w:t>
      </w:r>
      <w:r>
        <w:rPr>
          <w:rFonts w:eastAsia="Calibri"/>
          <w:i/>
          <w:iCs/>
          <w:lang w:eastAsia="en-US"/>
        </w:rPr>
        <w:t xml:space="preserve"> Watts</w:t>
      </w:r>
      <w:r>
        <w:rPr>
          <w:rFonts w:eastAsia="Calibri"/>
          <w:lang w:eastAsia="en-US"/>
        </w:rPr>
        <w:t>,</w:t>
      </w:r>
      <w:r>
        <w:rPr>
          <w:rStyle w:val="FootnoteReference"/>
          <w:rFonts w:eastAsia="Calibri"/>
          <w:lang w:eastAsia="en-US"/>
        </w:rPr>
        <w:footnoteReference w:id="17"/>
      </w:r>
      <w:r>
        <w:rPr>
          <w:rFonts w:eastAsia="Calibri"/>
          <w:lang w:eastAsia="en-US"/>
        </w:rPr>
        <w:t xml:space="preserve"> there is no factual basis alleged in the Complaint to plausibly support that Defendants have acted </w:t>
      </w:r>
      <w:r>
        <w:rPr>
          <w:rFonts w:eastAsia="Calibri"/>
          <w:lang w:eastAsia="en-US"/>
        </w:rPr>
        <w:lastRenderedPageBreak/>
        <w:t xml:space="preserve">unreasonably by not implementing control and capture technology.  </w:t>
      </w:r>
      <w:r>
        <w:rPr>
          <w:rFonts w:eastAsia="Calibri"/>
          <w:i/>
          <w:lang w:eastAsia="en-US"/>
        </w:rPr>
        <w:t xml:space="preserve">See supra </w:t>
      </w:r>
      <w:r>
        <w:rPr>
          <w:rFonts w:eastAsia="Calibri"/>
          <w:lang w:eastAsia="en-US"/>
        </w:rPr>
        <w:t>at 4-6. A</w:t>
      </w:r>
      <w:r>
        <w:rPr>
          <w:rFonts w:eastAsia="Calibri"/>
          <w:lang w:eastAsia="en-US"/>
        </w:rPr>
        <w:t xml:space="preserve">ccordingly, the nuisance claim must be dismissed.  </w:t>
      </w:r>
      <w:r>
        <w:tab/>
      </w:r>
    </w:p>
    <w:p w:rsidR="00487786" w:rsidRDefault="009C73ED">
      <w:pPr>
        <w:spacing w:line="480" w:lineRule="auto"/>
        <w:ind w:firstLine="720"/>
        <w:rPr>
          <w:rFonts w:eastAsia="Calibri"/>
          <w:lang w:eastAsia="en-US"/>
        </w:rPr>
      </w:pPr>
      <w:r>
        <w:rPr>
          <w:rFonts w:eastAsia="Calibri"/>
          <w:lang w:eastAsia="en-US"/>
        </w:rPr>
        <w:t xml:space="preserve">Moreover, even if the centuries-old method of aging rum is now deemed a nuisance, Plaintiffs chose to “come to the nuisance” or </w:t>
      </w:r>
      <w:proofErr w:type="spellStart"/>
      <w:r>
        <w:rPr>
          <w:rFonts w:eastAsia="Calibri"/>
          <w:i/>
          <w:lang w:eastAsia="en-US"/>
        </w:rPr>
        <w:t>volenti</w:t>
      </w:r>
      <w:proofErr w:type="spellEnd"/>
      <w:r>
        <w:rPr>
          <w:rFonts w:eastAsia="Calibri"/>
          <w:i/>
          <w:lang w:eastAsia="en-US"/>
        </w:rPr>
        <w:t xml:space="preserve"> non fit </w:t>
      </w:r>
      <w:proofErr w:type="spellStart"/>
      <w:r>
        <w:rPr>
          <w:rFonts w:eastAsia="Calibri"/>
          <w:i/>
          <w:lang w:eastAsia="en-US"/>
        </w:rPr>
        <w:t>injuria</w:t>
      </w:r>
      <w:proofErr w:type="spellEnd"/>
      <w:r>
        <w:rPr>
          <w:rFonts w:eastAsia="Calibri"/>
          <w:lang w:eastAsia="en-US"/>
        </w:rPr>
        <w:t>, meaning “to a willing person, injury is not done.”</w:t>
      </w:r>
      <w:r>
        <w:rPr>
          <w:rFonts w:eastAsia="Calibri"/>
          <w:lang w:eastAsia="en-US"/>
        </w:rPr>
        <w:t xml:space="preserve">  Section </w:t>
      </w:r>
      <w:proofErr w:type="spellStart"/>
      <w:r>
        <w:rPr>
          <w:rFonts w:eastAsia="Calibri"/>
          <w:lang w:eastAsia="en-US"/>
        </w:rPr>
        <w:t>840D</w:t>
      </w:r>
      <w:proofErr w:type="spellEnd"/>
      <w:r>
        <w:rPr>
          <w:rFonts w:eastAsia="Calibri"/>
          <w:lang w:eastAsia="en-US"/>
        </w:rPr>
        <w:t xml:space="preserve"> of the </w:t>
      </w:r>
      <w:r>
        <w:rPr>
          <w:rFonts w:eastAsia="Calibri"/>
          <w:i/>
          <w:lang w:eastAsia="en-US"/>
        </w:rPr>
        <w:t>Restatement</w:t>
      </w:r>
      <w:r>
        <w:rPr>
          <w:rFonts w:eastAsia="Calibri"/>
          <w:lang w:eastAsia="en-US"/>
        </w:rPr>
        <w:t xml:space="preserve"> </w:t>
      </w:r>
      <w:r>
        <w:rPr>
          <w:rFonts w:eastAsia="Calibri"/>
          <w:i/>
          <w:lang w:eastAsia="en-US"/>
        </w:rPr>
        <w:t xml:space="preserve">(Second) of Torts </w:t>
      </w:r>
      <w:r>
        <w:rPr>
          <w:rFonts w:eastAsia="Calibri"/>
          <w:lang w:eastAsia="en-US"/>
        </w:rPr>
        <w:t xml:space="preserve">provides that coming to the nuisance is “not in itself sufficient to bar [the] action, </w:t>
      </w:r>
      <w:r>
        <w:rPr>
          <w:rFonts w:eastAsia="Calibri"/>
          <w:i/>
          <w:lang w:eastAsia="en-US"/>
        </w:rPr>
        <w:t>but it is a factor to be considered in determining whether the nuisance is actionable</w:t>
      </w:r>
      <w:r>
        <w:rPr>
          <w:rFonts w:eastAsia="Calibri"/>
          <w:lang w:eastAsia="en-US"/>
        </w:rPr>
        <w:t xml:space="preserve">.”  </w:t>
      </w:r>
      <w:r>
        <w:rPr>
          <w:rFonts w:eastAsia="Calibri"/>
          <w:i/>
          <w:lang w:eastAsia="en-US"/>
        </w:rPr>
        <w:t xml:space="preserve">Restatement (Second) of Torts </w:t>
      </w:r>
      <w:r>
        <w:rPr>
          <w:rFonts w:eastAsia="Calibri"/>
          <w:lang w:eastAsia="en-US"/>
        </w:rPr>
        <w:t xml:space="preserve">§ </w:t>
      </w:r>
      <w:proofErr w:type="spellStart"/>
      <w:r>
        <w:rPr>
          <w:rFonts w:eastAsia="Calibri"/>
          <w:lang w:eastAsia="en-US"/>
        </w:rPr>
        <w:t>840D</w:t>
      </w:r>
      <w:proofErr w:type="spellEnd"/>
      <w:r>
        <w:rPr>
          <w:rFonts w:eastAsia="Calibri"/>
          <w:lang w:eastAsia="en-US"/>
        </w:rPr>
        <w:t xml:space="preserve"> (1979) (emphasis added).  </w:t>
      </w:r>
    </w:p>
    <w:p w:rsidR="00487786" w:rsidRDefault="009C73ED">
      <w:pPr>
        <w:spacing w:line="480" w:lineRule="auto"/>
        <w:ind w:firstLine="720"/>
        <w:rPr>
          <w:rFonts w:eastAsia="Calibri"/>
          <w:lang w:eastAsia="en-US"/>
        </w:rPr>
      </w:pPr>
      <w:r>
        <w:rPr>
          <w:rFonts w:eastAsia="Calibri"/>
          <w:lang w:eastAsia="en-US"/>
        </w:rPr>
        <w:t xml:space="preserve">Rum production and aging operations have been conducted at Cruzan’s present location for more than 220 years.  According to Plaintiffs’ own allegations, the alleged  </w:t>
      </w:r>
      <w:proofErr w:type="spellStart"/>
      <w:r>
        <w:rPr>
          <w:i/>
          <w:lang w:val="en"/>
        </w:rPr>
        <w:t>Baudoinia</w:t>
      </w:r>
      <w:proofErr w:type="spellEnd"/>
      <w:r>
        <w:rPr>
          <w:i/>
          <w:lang w:val="en"/>
        </w:rPr>
        <w:t xml:space="preserve"> </w:t>
      </w:r>
      <w:proofErr w:type="spellStart"/>
      <w:r>
        <w:rPr>
          <w:i/>
          <w:lang w:val="en"/>
        </w:rPr>
        <w:t>compniacensis</w:t>
      </w:r>
      <w:proofErr w:type="spellEnd"/>
      <w:r>
        <w:rPr>
          <w:rFonts w:eastAsia="Calibri"/>
          <w:lang w:eastAsia="en-US"/>
        </w:rPr>
        <w:t xml:space="preserve"> ca</w:t>
      </w:r>
      <w:r>
        <w:rPr>
          <w:rFonts w:eastAsia="Calibri"/>
          <w:lang w:eastAsia="en-US"/>
        </w:rPr>
        <w:t xml:space="preserve">used by rum production and aging “is </w:t>
      </w:r>
      <w:r>
        <w:rPr>
          <w:rFonts w:eastAsia="Calibri"/>
          <w:i/>
          <w:lang w:eastAsia="en-US"/>
        </w:rPr>
        <w:t>very</w:t>
      </w:r>
      <w:r>
        <w:rPr>
          <w:rFonts w:eastAsia="Calibri"/>
          <w:lang w:eastAsia="en-US"/>
        </w:rPr>
        <w:t xml:space="preserve"> visible on homes, businesses, vehicles, trees/plants and fruits/vegetables and is unsightly and damaging.”  </w:t>
      </w:r>
      <w:proofErr w:type="spellStart"/>
      <w:r>
        <w:rPr>
          <w:rFonts w:eastAsia="Calibri"/>
          <w:lang w:eastAsia="en-US"/>
        </w:rPr>
        <w:t>Compl</w:t>
      </w:r>
      <w:proofErr w:type="spellEnd"/>
      <w:r>
        <w:rPr>
          <w:rFonts w:eastAsia="Calibri"/>
          <w:lang w:eastAsia="en-US"/>
        </w:rPr>
        <w:t>. ¶ 37 (emphasis added).  Plaintiffs, of course, were born well after rum aging was taking place in E</w:t>
      </w:r>
      <w:r>
        <w:rPr>
          <w:rFonts w:eastAsia="Calibri"/>
          <w:lang w:eastAsia="en-US"/>
        </w:rPr>
        <w:t>state Diamond, and public records demonstrate that they, or their landlords, moved into the properties at issue here between 1990 and 2007.</w:t>
      </w:r>
      <w:r>
        <w:rPr>
          <w:rStyle w:val="FootnoteReference"/>
          <w:rFonts w:eastAsia="Calibri"/>
          <w:lang w:eastAsia="en-US"/>
        </w:rPr>
        <w:footnoteReference w:id="18"/>
      </w:r>
      <w:r>
        <w:rPr>
          <w:rFonts w:eastAsia="Calibri"/>
          <w:lang w:eastAsia="en-US"/>
        </w:rPr>
        <w:t xml:space="preserve">  If such a nuisance existed, it would have been known to Plaintiffs when they purchased real estate or began residi</w:t>
      </w:r>
      <w:r>
        <w:rPr>
          <w:rFonts w:eastAsia="Calibri"/>
          <w:lang w:eastAsia="en-US"/>
        </w:rPr>
        <w:t xml:space="preserve">ng in the area and to the developers of these sub-divisions.  </w:t>
      </w:r>
    </w:p>
    <w:p w:rsidR="00487786" w:rsidRDefault="009C73ED">
      <w:pPr>
        <w:spacing w:line="480" w:lineRule="auto"/>
        <w:ind w:firstLine="720"/>
        <w:rPr>
          <w:rFonts w:eastAsia="Calibri"/>
          <w:lang w:eastAsia="en-US"/>
        </w:rPr>
      </w:pPr>
      <w:r>
        <w:rPr>
          <w:rFonts w:eastAsia="Calibri"/>
          <w:lang w:eastAsia="en-US"/>
        </w:rPr>
        <w:t xml:space="preserve">The </w:t>
      </w:r>
      <w:r>
        <w:rPr>
          <w:rFonts w:eastAsia="Calibri"/>
          <w:i/>
          <w:lang w:eastAsia="en-US"/>
        </w:rPr>
        <w:t>Restatement</w:t>
      </w:r>
      <w:r>
        <w:rPr>
          <w:rFonts w:eastAsia="Calibri"/>
          <w:lang w:eastAsia="en-US"/>
        </w:rPr>
        <w:t xml:space="preserve"> (</w:t>
      </w:r>
      <w:r>
        <w:rPr>
          <w:rFonts w:eastAsia="Calibri"/>
          <w:i/>
          <w:lang w:eastAsia="en-US"/>
        </w:rPr>
        <w:t xml:space="preserve">Second) of Torts </w:t>
      </w:r>
      <w:r>
        <w:rPr>
          <w:rFonts w:eastAsia="Calibri"/>
          <w:lang w:eastAsia="en-US"/>
        </w:rPr>
        <w:t>provides an analogous illustration:</w:t>
      </w:r>
    </w:p>
    <w:p w:rsidR="00487786" w:rsidRDefault="009C73ED">
      <w:pPr>
        <w:ind w:left="720" w:right="720"/>
        <w:rPr>
          <w:rFonts w:eastAsia="Calibri"/>
          <w:lang w:eastAsia="en-US"/>
        </w:rPr>
      </w:pPr>
      <w:r>
        <w:rPr>
          <w:rFonts w:eastAsia="Calibri"/>
          <w:lang w:eastAsia="en-US"/>
        </w:rPr>
        <w:t xml:space="preserve">A operates a brewery in a former residential area in which industrial plants are beginning to appear.  The brewery noises, </w:t>
      </w:r>
      <w:r>
        <w:rPr>
          <w:rFonts w:eastAsia="Calibri"/>
          <w:lang w:eastAsia="en-US"/>
        </w:rPr>
        <w:t xml:space="preserve">odors and smoke interfere with the use and enjoyment of the land of B adjoining it.  C buys the land from B, moves in upon it and brings an action for the private nuisance.  </w:t>
      </w:r>
      <w:r>
        <w:rPr>
          <w:rFonts w:eastAsia="Calibri"/>
          <w:lang w:eastAsia="en-US"/>
        </w:rPr>
        <w:lastRenderedPageBreak/>
        <w:t xml:space="preserve">The fact that C has come to the nuisance, together with the changing character of </w:t>
      </w:r>
      <w:r>
        <w:rPr>
          <w:rFonts w:eastAsia="Calibri"/>
          <w:lang w:eastAsia="en-US"/>
        </w:rPr>
        <w:t>the locality, may be sufficient to prevent recovery.</w:t>
      </w:r>
      <w:r>
        <w:rPr>
          <w:rFonts w:eastAsia="Calibri"/>
          <w:lang w:eastAsia="en-US"/>
        </w:rPr>
        <w:br/>
      </w:r>
    </w:p>
    <w:p w:rsidR="00487786" w:rsidRDefault="009C73ED">
      <w:pPr>
        <w:spacing w:line="480" w:lineRule="auto"/>
        <w:rPr>
          <w:rFonts w:eastAsia="Calibri"/>
          <w:lang w:eastAsia="en-US"/>
        </w:rPr>
      </w:pPr>
      <w:r>
        <w:rPr>
          <w:rFonts w:eastAsia="Calibri"/>
          <w:i/>
          <w:lang w:eastAsia="en-US"/>
        </w:rPr>
        <w:t>Restatement (Second) of Torts</w:t>
      </w:r>
      <w:r>
        <w:rPr>
          <w:rFonts w:eastAsia="Calibri"/>
          <w:lang w:eastAsia="en-US"/>
        </w:rPr>
        <w:t xml:space="preserve"> § </w:t>
      </w:r>
      <w:proofErr w:type="spellStart"/>
      <w:r>
        <w:rPr>
          <w:rFonts w:eastAsia="Calibri"/>
          <w:lang w:eastAsia="en-US"/>
        </w:rPr>
        <w:t>840D</w:t>
      </w:r>
      <w:proofErr w:type="spellEnd"/>
      <w:r>
        <w:rPr>
          <w:rFonts w:eastAsia="Calibri"/>
          <w:lang w:eastAsia="en-US"/>
        </w:rPr>
        <w:t>, illus. 3 (1979).  This case even more strongly calls for finding that Plaintiffs’ claim is not actionable.  This is not a case where rum operations are just “beginn</w:t>
      </w:r>
      <w:r>
        <w:rPr>
          <w:rFonts w:eastAsia="Calibri"/>
          <w:lang w:eastAsia="en-US"/>
        </w:rPr>
        <w:t xml:space="preserve">ing to appear,” as in the illustration above.  </w:t>
      </w:r>
      <w:r>
        <w:rPr>
          <w:rFonts w:eastAsia="Calibri"/>
          <w:i/>
          <w:lang w:eastAsia="en-US"/>
        </w:rPr>
        <w:t xml:space="preserve">Id.  </w:t>
      </w:r>
      <w:r>
        <w:rPr>
          <w:rFonts w:eastAsia="Calibri"/>
          <w:lang w:eastAsia="en-US"/>
        </w:rPr>
        <w:t xml:space="preserve">The aging of rum—and thus the release of ethanol and the alleged blackening that Plaintiffs’ claim it causes—has been occurring for centuries in Estate Diamond.  </w:t>
      </w:r>
      <w:proofErr w:type="spellStart"/>
      <w:r>
        <w:rPr>
          <w:rFonts w:eastAsia="Calibri"/>
          <w:lang w:eastAsia="en-US"/>
        </w:rPr>
        <w:t>Compl</w:t>
      </w:r>
      <w:proofErr w:type="spellEnd"/>
      <w:r>
        <w:rPr>
          <w:rFonts w:eastAsia="Calibri"/>
          <w:lang w:eastAsia="en-US"/>
        </w:rPr>
        <w:t>. ¶ 37.  To the extent there is a nui</w:t>
      </w:r>
      <w:r>
        <w:rPr>
          <w:rFonts w:eastAsia="Calibri"/>
          <w:lang w:eastAsia="en-US"/>
        </w:rPr>
        <w:t xml:space="preserve">sance, Plaintiffs have “come to the nuisance” and, for this reason too, this Court should find that their claim is not actionable.  </w:t>
      </w:r>
      <w:r>
        <w:rPr>
          <w:rFonts w:eastAsia="Calibri"/>
          <w:i/>
          <w:lang w:eastAsia="en-US"/>
        </w:rPr>
        <w:t xml:space="preserve">See also Leonard v. </w:t>
      </w:r>
      <w:proofErr w:type="spellStart"/>
      <w:r>
        <w:rPr>
          <w:rFonts w:eastAsia="Calibri"/>
          <w:i/>
          <w:lang w:eastAsia="en-US"/>
        </w:rPr>
        <w:t>Gagliano</w:t>
      </w:r>
      <w:proofErr w:type="spellEnd"/>
      <w:r>
        <w:rPr>
          <w:rFonts w:eastAsia="Calibri"/>
          <w:lang w:eastAsia="en-US"/>
        </w:rPr>
        <w:t xml:space="preserve">, 459 </w:t>
      </w:r>
      <w:proofErr w:type="spellStart"/>
      <w:r>
        <w:rPr>
          <w:rFonts w:eastAsia="Calibri"/>
          <w:lang w:eastAsia="en-US"/>
        </w:rPr>
        <w:t>S.W.2d</w:t>
      </w:r>
      <w:proofErr w:type="spellEnd"/>
      <w:r>
        <w:rPr>
          <w:rFonts w:eastAsia="Calibri"/>
          <w:lang w:eastAsia="en-US"/>
        </w:rPr>
        <w:t xml:space="preserve"> 732, 735-36 (Mo. Ct. App. 1970) (affirming district court’s determination that the </w:t>
      </w:r>
      <w:r>
        <w:rPr>
          <w:rFonts w:eastAsia="Calibri"/>
          <w:lang w:eastAsia="en-US"/>
        </w:rPr>
        <w:t xml:space="preserve">defendants’ activities were consistent with the zoning and industrial character of the area, that the plaintiffs chose to come to the nuisance, and that their nuisance claim therefore was not actionable).  </w:t>
      </w:r>
    </w:p>
    <w:p w:rsidR="00487786" w:rsidRDefault="009C73ED">
      <w:pPr>
        <w:spacing w:line="480" w:lineRule="auto"/>
        <w:rPr>
          <w:b/>
        </w:rPr>
      </w:pPr>
      <w:r>
        <w:rPr>
          <w:rFonts w:eastAsia="Calibri"/>
          <w:lang w:eastAsia="en-US"/>
        </w:rPr>
        <w:tab/>
      </w:r>
      <w:r>
        <w:rPr>
          <w:rFonts w:eastAsia="Calibri"/>
          <w:lang w:eastAsia="en-US"/>
        </w:rPr>
        <w:tab/>
      </w:r>
      <w:r>
        <w:rPr>
          <w:rFonts w:eastAsia="Calibri"/>
          <w:b/>
          <w:lang w:eastAsia="en-US"/>
        </w:rPr>
        <w:t>3</w:t>
      </w:r>
      <w:r>
        <w:rPr>
          <w:rFonts w:eastAsia="Calibri"/>
          <w:lang w:eastAsia="en-US"/>
        </w:rPr>
        <w:t xml:space="preserve">. </w:t>
      </w:r>
      <w:r>
        <w:rPr>
          <w:rFonts w:eastAsia="Calibri"/>
          <w:lang w:eastAsia="en-US"/>
        </w:rPr>
        <w:tab/>
      </w:r>
      <w:r>
        <w:rPr>
          <w:b/>
        </w:rPr>
        <w:t xml:space="preserve">Plaintiffs’ Trespass Claims Fail </w:t>
      </w:r>
    </w:p>
    <w:p w:rsidR="00487786" w:rsidRDefault="009C73ED">
      <w:pPr>
        <w:spacing w:line="480" w:lineRule="auto"/>
        <w:ind w:firstLine="720"/>
      </w:pPr>
      <w:r>
        <w:t>Counts II</w:t>
      </w:r>
      <w:r>
        <w:t xml:space="preserve">I and IV are claims for intentional and negligent trespass.  Liability for trespass in the Virgin Islands is governed by Chapter 7 of the </w:t>
      </w:r>
      <w:r>
        <w:rPr>
          <w:i/>
        </w:rPr>
        <w:t>Restatement (Second) of Torts</w:t>
      </w:r>
      <w:r>
        <w:t xml:space="preserve"> (§§ 157-166) (1965).  </w:t>
      </w:r>
      <w:r>
        <w:rPr>
          <w:i/>
        </w:rPr>
        <w:t>See</w:t>
      </w:r>
      <w:r>
        <w:t xml:space="preserve"> 1 </w:t>
      </w:r>
      <w:proofErr w:type="spellStart"/>
      <w:r>
        <w:t>V.I.C</w:t>
      </w:r>
      <w:proofErr w:type="spellEnd"/>
      <w:r>
        <w:t>. § 4.  Both trespass claims should be dismissed for tw</w:t>
      </w:r>
      <w:r>
        <w:t>o reasons.  First, Plaintiffs base their trespass claims—like their other claims—on the alleged availability of capture and control technology and an alleged duty to implement such technology, without alleging any plausible factual support.  Second, even a</w:t>
      </w:r>
      <w:r>
        <w:t xml:space="preserve">ccepting Plaintiffs’ factual allegations as true, Defendants have not “physically invaded” their property with “tangible matter.”  </w:t>
      </w:r>
      <w:r>
        <w:rPr>
          <w:i/>
        </w:rPr>
        <w:t>See, e.g., Bormann v. Bd. of Supervisors</w:t>
      </w:r>
      <w:r>
        <w:t xml:space="preserve">, </w:t>
      </w:r>
      <w:r>
        <w:lastRenderedPageBreak/>
        <w:t xml:space="preserve">584 </w:t>
      </w:r>
      <w:proofErr w:type="spellStart"/>
      <w:r>
        <w:t>N.W.2d</w:t>
      </w:r>
      <w:proofErr w:type="spellEnd"/>
      <w:r>
        <w:t xml:space="preserve"> 309, 315 (Iowa 1998) (“Trespass comprehends an actual physical invasion </w:t>
      </w:r>
      <w:r>
        <w:t xml:space="preserve">by a tangible matter.” (internal quotation marks and citation omitted)).   </w:t>
      </w:r>
    </w:p>
    <w:p w:rsidR="00487786" w:rsidRDefault="009C73ED">
      <w:pPr>
        <w:spacing w:line="480" w:lineRule="auto"/>
        <w:ind w:firstLine="720"/>
        <w:rPr>
          <w:i/>
        </w:rPr>
      </w:pPr>
      <w:r>
        <w:t>Plaintiffs’ negligent and intentional trespass claims both rest on the common allegation that “Defendants have a duty to minimize and prevent the ethanol emissions from invading Pl</w:t>
      </w:r>
      <w:r>
        <w:t xml:space="preserve">aintiffs’ real and personal property </w:t>
      </w:r>
      <w:r>
        <w:rPr>
          <w:i/>
        </w:rPr>
        <w:t xml:space="preserve">since controls are available </w:t>
      </w:r>
      <w:r>
        <w:t xml:space="preserve">to destroy the ethanol before it escapes the Defendants’ property.”  </w:t>
      </w:r>
      <w:proofErr w:type="spellStart"/>
      <w:r>
        <w:t>Compl</w:t>
      </w:r>
      <w:proofErr w:type="spellEnd"/>
      <w:r>
        <w:t xml:space="preserve">. ¶ 108 (Intentional Trespass) (emphasis added); </w:t>
      </w:r>
      <w:proofErr w:type="spellStart"/>
      <w:r>
        <w:t>Compl</w:t>
      </w:r>
      <w:proofErr w:type="spellEnd"/>
      <w:r>
        <w:t xml:space="preserve">. ¶ 123 (same allegation with respect to Negligent Trespass); </w:t>
      </w:r>
      <w:r>
        <w:rPr>
          <w:i/>
        </w:rPr>
        <w:t xml:space="preserve">see also </w:t>
      </w:r>
      <w:proofErr w:type="spellStart"/>
      <w:r>
        <w:t>Compl</w:t>
      </w:r>
      <w:proofErr w:type="spellEnd"/>
      <w:r>
        <w:t>. ¶¶ 111, 112, 125, 126.  But, for the reasons described above, Plaintiffs have failed to plead facts plausibly demonstrating that control technology is reasonably available to capture ethanol from Defendants’ rum-aging facilities.  According</w:t>
      </w:r>
      <w:r>
        <w:t xml:space="preserve">ly, the trespass claims should be dismissed.  </w:t>
      </w:r>
    </w:p>
    <w:p w:rsidR="00487786" w:rsidRDefault="009C73ED">
      <w:pPr>
        <w:spacing w:line="480" w:lineRule="auto"/>
        <w:ind w:firstLine="720"/>
      </w:pPr>
      <w:r>
        <w:t>In addition, Plaintiffs’ trespass claims fail because, even if Defendants’ ethanol emissions enter into the atmosphere and drift over their land as Plaintiffs allege, that does not constitute a physical intrus</w:t>
      </w:r>
      <w:r>
        <w:t xml:space="preserve">ion of a tangible item necessary to make out a trespass claim.  The “gist of the tort” of trespass is the “intentional interference with rights of exclusive possession.”  Dan B. Dobbs, </w:t>
      </w:r>
      <w:r>
        <w:rPr>
          <w:i/>
        </w:rPr>
        <w:t>The Law of Torts</w:t>
      </w:r>
      <w:r>
        <w:t xml:space="preserve"> § 50 at 95-96 (2000).  Thus, the tort of trespass is c</w:t>
      </w:r>
      <w:r>
        <w:t xml:space="preserve">ommitted when a person “enters or causes direct and tangible entry upon the land in possession of another.”  </w:t>
      </w:r>
      <w:r>
        <w:rPr>
          <w:i/>
        </w:rPr>
        <w:t>Id.</w:t>
      </w:r>
      <w:r>
        <w:t xml:space="preserve">; </w:t>
      </w:r>
      <w:r>
        <w:rPr>
          <w:i/>
        </w:rPr>
        <w:t xml:space="preserve">see also Restatement (Second) of Torts </w:t>
      </w:r>
      <w:r>
        <w:t xml:space="preserve">§ 158 (Intentional Trespass) (1965) (dealing with “entry” onto land); </w:t>
      </w:r>
      <w:r>
        <w:rPr>
          <w:i/>
        </w:rPr>
        <w:t xml:space="preserve">id. </w:t>
      </w:r>
      <w:r>
        <w:t>§ 165 (Negligent Trespass) (s</w:t>
      </w:r>
      <w:r>
        <w:t xml:space="preserve">ame); </w:t>
      </w:r>
      <w:r>
        <w:rPr>
          <w:i/>
        </w:rPr>
        <w:t xml:space="preserve">Hodge v. McGowan, </w:t>
      </w:r>
      <w:r>
        <w:t xml:space="preserve">50 </w:t>
      </w:r>
      <w:proofErr w:type="spellStart"/>
      <w:r>
        <w:t>V.I</w:t>
      </w:r>
      <w:proofErr w:type="spellEnd"/>
      <w:r>
        <w:t>. 296 (</w:t>
      </w:r>
      <w:proofErr w:type="spellStart"/>
      <w:r>
        <w:t>V.I</w:t>
      </w:r>
      <w:proofErr w:type="spellEnd"/>
      <w:r>
        <w:t xml:space="preserve">. 2008) (citing § 158).  </w:t>
      </w:r>
    </w:p>
    <w:p w:rsidR="00487786" w:rsidRDefault="009C73ED">
      <w:pPr>
        <w:spacing w:line="480" w:lineRule="auto"/>
        <w:ind w:firstLine="720"/>
      </w:pPr>
      <w:r>
        <w:lastRenderedPageBreak/>
        <w:t xml:space="preserve">The “entry,” moreover, must be through </w:t>
      </w:r>
      <w:r>
        <w:rPr>
          <w:i/>
        </w:rPr>
        <w:t>“tangible</w:t>
      </w:r>
      <w:r>
        <w:t>” matter.</w:t>
      </w:r>
      <w:r>
        <w:rPr>
          <w:rStyle w:val="FootnoteReference"/>
        </w:rPr>
        <w:footnoteReference w:id="19"/>
      </w:r>
      <w:r>
        <w:t xml:space="preserve">  Thus, the Comments to the </w:t>
      </w:r>
      <w:r>
        <w:rPr>
          <w:i/>
        </w:rPr>
        <w:t xml:space="preserve">Restatement </w:t>
      </w:r>
      <w:r>
        <w:t>sections on both intentional and negligent trespass discuss the physical entry by a person—o</w:t>
      </w:r>
      <w:r>
        <w:t xml:space="preserve">r by a person causing a tangible item to enter another’s property—like throwing a rock onto another’s property.  </w:t>
      </w:r>
      <w:r>
        <w:rPr>
          <w:i/>
        </w:rPr>
        <w:t>See also id.</w:t>
      </w:r>
      <w:r>
        <w:t xml:space="preserve"> § 158, illus. 5 (describing the placement of a dam that causes water to back up onto another’s land).  But there are no Illustrati</w:t>
      </w:r>
      <w:r>
        <w:t xml:space="preserve">ons—and nothing else in the </w:t>
      </w:r>
      <w:r>
        <w:rPr>
          <w:i/>
        </w:rPr>
        <w:t>Restatement</w:t>
      </w:r>
      <w:r>
        <w:t xml:space="preserve">—suggesting that something invisible like ethanol that can only be detected by air testing can constitute a trespass.  </w:t>
      </w:r>
      <w:proofErr w:type="spellStart"/>
      <w:r>
        <w:t>Compl</w:t>
      </w:r>
      <w:proofErr w:type="spellEnd"/>
      <w:r>
        <w:t>. ¶ 103 (ethanol is “identifiable by existing means of air testing”).  To the contrary, the t</w:t>
      </w:r>
      <w:r>
        <w:t xml:space="preserve">raditional rule is that the “intentional introduction onto the land of another of smoke, gas, noise, [and] the like” generally “is not actionable in trespass.”  W. Page Keeton </w:t>
      </w:r>
      <w:r>
        <w:rPr>
          <w:i/>
        </w:rPr>
        <w:t>et al</w:t>
      </w:r>
      <w:r>
        <w:t xml:space="preserve">., </w:t>
      </w:r>
      <w:r>
        <w:rPr>
          <w:i/>
        </w:rPr>
        <w:t>Prosser and Keeton on the Law of Torts</w:t>
      </w:r>
      <w:r>
        <w:t xml:space="preserve"> § 13, at 71 (5th ed. 1984).</w:t>
      </w:r>
    </w:p>
    <w:p w:rsidR="00487786" w:rsidRDefault="009C73ED">
      <w:pPr>
        <w:spacing w:line="480" w:lineRule="auto"/>
        <w:ind w:firstLine="720"/>
      </w:pPr>
      <w:r>
        <w:t xml:space="preserve">Plaintiffs attempt to avoid dismissal by deeming ethanol “tangible.”  </w:t>
      </w:r>
      <w:proofErr w:type="spellStart"/>
      <w:r>
        <w:t>Compl</w:t>
      </w:r>
      <w:proofErr w:type="spellEnd"/>
      <w:r>
        <w:t xml:space="preserve">. ¶ 103.  But particularly under </w:t>
      </w:r>
      <w:proofErr w:type="spellStart"/>
      <w:r>
        <w:rPr>
          <w:i/>
        </w:rPr>
        <w:t>Twombly</w:t>
      </w:r>
      <w:proofErr w:type="spellEnd"/>
      <w:r>
        <w:t xml:space="preserve">, saying does not make it so.  </w:t>
      </w:r>
      <w:proofErr w:type="spellStart"/>
      <w:r>
        <w:rPr>
          <w:i/>
          <w:iCs/>
        </w:rPr>
        <w:t>Twombly</w:t>
      </w:r>
      <w:proofErr w:type="spellEnd"/>
      <w:r>
        <w:rPr>
          <w:i/>
          <w:iCs/>
        </w:rPr>
        <w:t xml:space="preserve">, </w:t>
      </w:r>
      <w:r>
        <w:t>550 U.S. at 555 (</w:t>
      </w:r>
      <w:proofErr w:type="spellStart"/>
      <w:r>
        <w:t>conclusory</w:t>
      </w:r>
      <w:proofErr w:type="spellEnd"/>
      <w:r>
        <w:t xml:space="preserve"> statements irrelevant).  Moreover, pursuant to 1 </w:t>
      </w:r>
      <w:proofErr w:type="spellStart"/>
      <w:r>
        <w:t>V.I.C</w:t>
      </w:r>
      <w:proofErr w:type="spellEnd"/>
      <w:r>
        <w:t>. § 42 (Words and P</w:t>
      </w:r>
      <w:r>
        <w:t>hrases), “[w]</w:t>
      </w:r>
      <w:proofErr w:type="spellStart"/>
      <w:r>
        <w:t>ords</w:t>
      </w:r>
      <w:proofErr w:type="spellEnd"/>
      <w:r>
        <w:t xml:space="preserve"> and phrases shall be read with their context and shall be construed </w:t>
      </w:r>
      <w:r>
        <w:lastRenderedPageBreak/>
        <w:t xml:space="preserve">according to the common and approved usage of the English language.”  And the common meaning of “tangible” does not cover an invisible substance like ethanol.  </w:t>
      </w:r>
      <w:r>
        <w:rPr>
          <w:i/>
        </w:rPr>
        <w:t>Black’s La</w:t>
      </w:r>
      <w:r>
        <w:rPr>
          <w:i/>
        </w:rPr>
        <w:t>w Dictionary</w:t>
      </w:r>
      <w:r>
        <w:t xml:space="preserve"> 1592-93 (9th ed., 2009) explains</w:t>
      </w:r>
      <w:bookmarkStart w:id="124" w:name="_MD_Rev192"/>
      <w:r>
        <w:t>:</w:t>
      </w:r>
      <w:bookmarkEnd w:id="124"/>
    </w:p>
    <w:p w:rsidR="00487786" w:rsidRDefault="009C73ED">
      <w:pPr>
        <w:spacing w:line="276" w:lineRule="auto"/>
        <w:ind w:left="720" w:right="144"/>
        <w:rPr>
          <w:rFonts w:eastAsiaTheme="minorEastAsia"/>
        </w:rPr>
      </w:pPr>
      <w:r>
        <w:rPr>
          <w:rFonts w:eastAsiaTheme="minorEastAsia"/>
          <w:b/>
          <w:bCs/>
        </w:rPr>
        <w:t>tangible,</w:t>
      </w:r>
      <w:r>
        <w:rPr>
          <w:rFonts w:eastAsiaTheme="minorEastAsia"/>
        </w:rPr>
        <w:t xml:space="preserve"> </w:t>
      </w:r>
      <w:r>
        <w:rPr>
          <w:rFonts w:eastAsiaTheme="minorEastAsia"/>
          <w:i/>
          <w:iCs/>
        </w:rPr>
        <w:t>adj.</w:t>
      </w:r>
      <w:r>
        <w:rPr>
          <w:rFonts w:eastAsiaTheme="minorEastAsia"/>
        </w:rPr>
        <w:t xml:space="preserve"> (</w:t>
      </w:r>
      <w:proofErr w:type="spellStart"/>
      <w:r>
        <w:rPr>
          <w:rFonts w:eastAsiaTheme="minorEastAsia"/>
        </w:rPr>
        <w:t>16c</w:t>
      </w:r>
      <w:proofErr w:type="spellEnd"/>
      <w:r>
        <w:rPr>
          <w:rFonts w:eastAsiaTheme="minorEastAsia"/>
        </w:rPr>
        <w:t xml:space="preserve">) </w:t>
      </w:r>
      <w:r>
        <w:rPr>
          <w:rFonts w:eastAsiaTheme="minorEastAsia"/>
          <w:b/>
          <w:bCs/>
        </w:rPr>
        <w:t>1.</w:t>
      </w:r>
      <w:r>
        <w:rPr>
          <w:rFonts w:eastAsiaTheme="minorEastAsia"/>
        </w:rPr>
        <w:t xml:space="preserve"> Having or possessing physical form; CORPOREAL.  </w:t>
      </w:r>
      <w:r>
        <w:rPr>
          <w:rFonts w:eastAsiaTheme="minorEastAsia"/>
          <w:b/>
          <w:bCs/>
        </w:rPr>
        <w:t>2.</w:t>
      </w:r>
      <w:r>
        <w:rPr>
          <w:rFonts w:eastAsiaTheme="minorEastAsia"/>
        </w:rPr>
        <w:t xml:space="preserve"> Capable of being touched and seen; perceptible to the touch; capable of being possessed or realized.  </w:t>
      </w:r>
      <w:r>
        <w:rPr>
          <w:rFonts w:eastAsiaTheme="minorEastAsia"/>
          <w:b/>
          <w:bCs/>
        </w:rPr>
        <w:t>3.</w:t>
      </w:r>
      <w:r>
        <w:rPr>
          <w:rFonts w:eastAsiaTheme="minorEastAsia"/>
        </w:rPr>
        <w:t xml:space="preserve"> Capable of being understood b</w:t>
      </w:r>
      <w:r>
        <w:rPr>
          <w:rFonts w:eastAsiaTheme="minorEastAsia"/>
        </w:rPr>
        <w:t>y the mind.</w:t>
      </w:r>
    </w:p>
    <w:p w:rsidR="00487786" w:rsidRDefault="00487786">
      <w:pPr>
        <w:spacing w:line="276" w:lineRule="auto"/>
        <w:ind w:left="720" w:right="144"/>
        <w:rPr>
          <w:rFonts w:eastAsiaTheme="minorEastAsia"/>
        </w:rPr>
      </w:pPr>
    </w:p>
    <w:p w:rsidR="00487786" w:rsidRDefault="009C73ED">
      <w:pPr>
        <w:spacing w:line="480" w:lineRule="auto"/>
        <w:rPr>
          <w:rFonts w:eastAsiaTheme="minorEastAsia"/>
        </w:rPr>
      </w:pPr>
      <w:r>
        <w:rPr>
          <w:rFonts w:eastAsiaTheme="minorEastAsia"/>
        </w:rPr>
        <w:tab/>
        <w:t xml:space="preserve">Applying the traditional understanding of trespass and the plain meaning of “tangible,” a number of courts have rejected that invisible particle matters like ethanol drifting from one property onto another can constitute trespass.  </w:t>
      </w:r>
      <w:r>
        <w:rPr>
          <w:rFonts w:eastAsiaTheme="minorEastAsia"/>
          <w:i/>
        </w:rPr>
        <w:t>See, e.g.,</w:t>
      </w:r>
      <w:r>
        <w:rPr>
          <w:rFonts w:eastAsiaTheme="minorEastAsia"/>
          <w:i/>
        </w:rPr>
        <w:t xml:space="preserve"> Johnson</w:t>
      </w:r>
      <w:r>
        <w:rPr>
          <w:rFonts w:eastAsiaTheme="minorEastAsia"/>
        </w:rPr>
        <w:t xml:space="preserve">, 817 </w:t>
      </w:r>
      <w:proofErr w:type="spellStart"/>
      <w:r>
        <w:rPr>
          <w:rFonts w:eastAsiaTheme="minorEastAsia"/>
        </w:rPr>
        <w:t>N.W.2d</w:t>
      </w:r>
      <w:proofErr w:type="spellEnd"/>
      <w:r>
        <w:rPr>
          <w:rFonts w:eastAsiaTheme="minorEastAsia"/>
        </w:rPr>
        <w:t xml:space="preserve"> at 701 (applying the “traditional formulation of trespass” and rejecting as a matter of law trespass claim based on pesticide sprayed on defendant’s property allegedly drifting onto plaintiff’s property);</w:t>
      </w:r>
      <w:r>
        <w:t xml:space="preserve"> </w:t>
      </w:r>
      <w:r>
        <w:rPr>
          <w:rFonts w:eastAsiaTheme="minorEastAsia"/>
          <w:i/>
        </w:rPr>
        <w:t>Spicer v. City of Norfolk</w:t>
      </w:r>
      <w:r>
        <w:rPr>
          <w:rFonts w:eastAsiaTheme="minorEastAsia"/>
        </w:rPr>
        <w:t xml:space="preserve">, 46 </w:t>
      </w:r>
      <w:r>
        <w:rPr>
          <w:rFonts w:eastAsiaTheme="minorEastAsia"/>
        </w:rPr>
        <w:t>Va. Cir. 535, at *6-7 (Va. Cir. 1996) (holding invisible gases and microscopic particles are not tangible, and thus cannot constitute a trespass).</w:t>
      </w:r>
    </w:p>
    <w:p w:rsidR="00487786" w:rsidRDefault="009C73ED">
      <w:pPr>
        <w:spacing w:line="480" w:lineRule="auto"/>
        <w:ind w:right="144" w:firstLine="720"/>
      </w:pPr>
      <w:r>
        <w:t xml:space="preserve">Trespass is a limited tort dealing with “physical intrusions” and not other “annoyances.”  </w:t>
      </w:r>
      <w:r>
        <w:rPr>
          <w:i/>
        </w:rPr>
        <w:t xml:space="preserve">Restatement (Second) of Torts </w:t>
      </w:r>
      <w:r>
        <w:t xml:space="preserve"> </w:t>
      </w:r>
      <w:proofErr w:type="spellStart"/>
      <w:r>
        <w:t>ch.</w:t>
      </w:r>
      <w:proofErr w:type="spellEnd"/>
      <w:r>
        <w:t xml:space="preserve"> 7, topic 1, intro. note at 276 (1965).  The gravamen of Plaintiffs’ complaint is that an invisible particle matter (ethanol) drifted from Defendants’ rum-aging warehouses over their properties, and combined with natural e</w:t>
      </w:r>
      <w:r>
        <w:t xml:space="preserve">lements to catalyze the growth of </w:t>
      </w:r>
      <w:proofErr w:type="spellStart"/>
      <w:r>
        <w:rPr>
          <w:i/>
          <w:lang w:val="en"/>
        </w:rPr>
        <w:t>Baudoinia</w:t>
      </w:r>
      <w:proofErr w:type="spellEnd"/>
      <w:r>
        <w:rPr>
          <w:i/>
          <w:lang w:val="en"/>
        </w:rPr>
        <w:t xml:space="preserve"> </w:t>
      </w:r>
      <w:proofErr w:type="spellStart"/>
      <w:r>
        <w:rPr>
          <w:i/>
          <w:lang w:val="en"/>
        </w:rPr>
        <w:t>compniacensis</w:t>
      </w:r>
      <w:proofErr w:type="spellEnd"/>
      <w:r>
        <w:t xml:space="preserve">.  </w:t>
      </w:r>
      <w:r>
        <w:rPr>
          <w:i/>
        </w:rPr>
        <w:t xml:space="preserve">See </w:t>
      </w:r>
      <w:proofErr w:type="spellStart"/>
      <w:r>
        <w:t>Compl</w:t>
      </w:r>
      <w:proofErr w:type="spellEnd"/>
      <w:r>
        <w:t xml:space="preserve">. ¶¶ 97, 100-101, 118.  If Plaintiffs have a claim at all—and for the reasons described above they do not—it sounds in nuisance, not trespass.  </w:t>
      </w:r>
      <w:r>
        <w:rPr>
          <w:i/>
        </w:rPr>
        <w:t>See, e.g.</w:t>
      </w:r>
      <w:r>
        <w:t xml:space="preserve">, </w:t>
      </w:r>
      <w:r>
        <w:rPr>
          <w:i/>
        </w:rPr>
        <w:t xml:space="preserve">Restatement (Second) of Torts </w:t>
      </w:r>
      <w:r>
        <w:t xml:space="preserve">§ </w:t>
      </w:r>
      <w:proofErr w:type="spellStart"/>
      <w:r>
        <w:t>821D</w:t>
      </w:r>
      <w:proofErr w:type="spellEnd"/>
      <w:r>
        <w:t xml:space="preserve"> (1979) (“A private nuisance is a </w:t>
      </w:r>
      <w:proofErr w:type="spellStart"/>
      <w:r>
        <w:t>nontrespassory</w:t>
      </w:r>
      <w:proofErr w:type="spellEnd"/>
      <w:r>
        <w:t xml:space="preserve"> invasion of another’s interest in the private use and enjoyment of land.”);</w:t>
      </w:r>
      <w:r>
        <w:rPr>
          <w:i/>
        </w:rPr>
        <w:t xml:space="preserve"> </w:t>
      </w:r>
      <w:proofErr w:type="spellStart"/>
      <w:r>
        <w:rPr>
          <w:i/>
        </w:rPr>
        <w:t>L’Henri</w:t>
      </w:r>
      <w:proofErr w:type="spellEnd"/>
      <w:r>
        <w:rPr>
          <w:i/>
        </w:rPr>
        <w:t xml:space="preserve">, Inc. v. Vulcan </w:t>
      </w:r>
      <w:r>
        <w:rPr>
          <w:i/>
        </w:rPr>
        <w:lastRenderedPageBreak/>
        <w:t xml:space="preserve">Materials, </w:t>
      </w:r>
      <w:r>
        <w:t xml:space="preserve">Civ. No. 2006-177, </w:t>
      </w:r>
      <w:r>
        <w:rPr>
          <w:color w:val="000000"/>
        </w:rPr>
        <w:t xml:space="preserve">2010 WL 924259 </w:t>
      </w:r>
      <w:r>
        <w:t>(</w:t>
      </w:r>
      <w:proofErr w:type="spellStart"/>
      <w:r>
        <w:t>D.V.I</w:t>
      </w:r>
      <w:proofErr w:type="spellEnd"/>
      <w:r>
        <w:t>. Mar. 11, 2010) (same).  Plaintiffs’ attempt to blu</w:t>
      </w:r>
      <w:r>
        <w:t xml:space="preserve">r the line between these distinct torts should be rejected.  </w:t>
      </w:r>
    </w:p>
    <w:p w:rsidR="00487786" w:rsidRDefault="009C73ED">
      <w:pPr>
        <w:spacing w:line="480" w:lineRule="auto"/>
        <w:ind w:right="144" w:firstLine="720"/>
      </w:pPr>
      <w:r>
        <w:t xml:space="preserve">Accepting the facts in Plaintiffs’ Complaint as true, and disregarding the </w:t>
      </w:r>
      <w:proofErr w:type="spellStart"/>
      <w:r>
        <w:t>conclusory</w:t>
      </w:r>
      <w:proofErr w:type="spellEnd"/>
      <w:r>
        <w:t xml:space="preserve"> allegation that ethanol is “tangible,” Defendants have not caused a tangible item to enter Plaintiffs’ land </w:t>
      </w:r>
      <w:r>
        <w:t>and interfere with their exclusive right to possession.  Accordingly,  Counts III and IV must be dismissed.</w:t>
      </w:r>
    </w:p>
    <w:p w:rsidR="00487786" w:rsidRDefault="009C73ED">
      <w:pPr>
        <w:pStyle w:val="ListParagraph"/>
        <w:spacing w:line="480" w:lineRule="auto"/>
        <w:rPr>
          <w:b/>
        </w:rPr>
      </w:pPr>
      <w:r>
        <w:rPr>
          <w:b/>
        </w:rPr>
        <w:t>4.</w:t>
      </w:r>
      <w:r>
        <w:rPr>
          <w:b/>
        </w:rPr>
        <w:tab/>
        <w:t>The Injunctive Relief Count Does Not State A Cause Of Action</w:t>
      </w:r>
    </w:p>
    <w:p w:rsidR="00487786" w:rsidRDefault="009C73ED">
      <w:pPr>
        <w:pStyle w:val="ListParagraph"/>
        <w:spacing w:line="480" w:lineRule="auto"/>
        <w:ind w:left="0"/>
      </w:pPr>
      <w:r>
        <w:tab/>
        <w:t>Finally, Plaintiffs frame their demand that this Court order Defendants to implemen</w:t>
      </w:r>
      <w:r>
        <w:t xml:space="preserve">t control technology as a free-standing cause of action entitled “Injunctive Relief.”  In the </w:t>
      </w:r>
      <w:proofErr w:type="spellStart"/>
      <w:r>
        <w:t>USVI</w:t>
      </w:r>
      <w:proofErr w:type="spellEnd"/>
      <w:r>
        <w:t xml:space="preserve">, however, there is no separate cause of action for “injunctive relief.”  Rather, it is only a remedy under Chapter 48 of the </w:t>
      </w:r>
      <w:r>
        <w:rPr>
          <w:i/>
        </w:rPr>
        <w:t>Restatement</w:t>
      </w:r>
      <w:r>
        <w:t xml:space="preserve">.  </w:t>
      </w:r>
      <w:r>
        <w:rPr>
          <w:i/>
        </w:rPr>
        <w:t>See Restatement (S</w:t>
      </w:r>
      <w:r>
        <w:rPr>
          <w:i/>
        </w:rPr>
        <w:t>econd) of Torts</w:t>
      </w:r>
      <w:r>
        <w:t xml:space="preserve">, </w:t>
      </w:r>
      <w:proofErr w:type="spellStart"/>
      <w:r>
        <w:t>ch.</w:t>
      </w:r>
      <w:proofErr w:type="spellEnd"/>
      <w:r>
        <w:t xml:space="preserve"> 48, intro. note at 556 (1965) (“This Chapter deals with the remedy of injunction . . .”).</w:t>
      </w:r>
      <w:r>
        <w:rPr>
          <w:rStyle w:val="FootnoteReference"/>
        </w:rPr>
        <w:footnoteReference w:id="20"/>
      </w:r>
      <w:r>
        <w:t xml:space="preserve">  Even if “Injunctive Relief” was a cause of action, moreover, it would fail because it rests on Plaintiffs’ same speculative and deficient alleg</w:t>
      </w:r>
      <w:r>
        <w:t xml:space="preserve">ation that control technology is reasonably available for Defendants’ rum-aging facilities.  </w:t>
      </w:r>
      <w:proofErr w:type="spellStart"/>
      <w:r>
        <w:t>Compl</w:t>
      </w:r>
      <w:proofErr w:type="spellEnd"/>
      <w:r>
        <w:t xml:space="preserve">. ¶¶ 131-52.  Count V should be dismissed.  </w:t>
      </w:r>
    </w:p>
    <w:p w:rsidR="00487786" w:rsidRDefault="00487786">
      <w:pPr>
        <w:pStyle w:val="ListParagraph"/>
        <w:spacing w:line="480" w:lineRule="auto"/>
        <w:ind w:left="0"/>
      </w:pPr>
    </w:p>
    <w:p w:rsidR="00487786" w:rsidRDefault="00487786">
      <w:pPr>
        <w:pStyle w:val="ListParagraph"/>
        <w:spacing w:line="480" w:lineRule="auto"/>
        <w:ind w:left="0"/>
      </w:pPr>
    </w:p>
    <w:p w:rsidR="00487786" w:rsidRDefault="00487786">
      <w:pPr>
        <w:pStyle w:val="ListParagraph"/>
        <w:spacing w:line="480" w:lineRule="auto"/>
        <w:ind w:left="0"/>
      </w:pPr>
    </w:p>
    <w:p w:rsidR="00487786" w:rsidRDefault="009C73ED">
      <w:pPr>
        <w:rPr>
          <w:b/>
        </w:rPr>
      </w:pPr>
      <w:r>
        <w:rPr>
          <w:b/>
        </w:rPr>
        <w:lastRenderedPageBreak/>
        <w:t>V.</w:t>
      </w:r>
      <w:r>
        <w:rPr>
          <w:b/>
        </w:rPr>
        <w:tab/>
        <w:t xml:space="preserve"> Conclusion</w:t>
      </w:r>
    </w:p>
    <w:p w:rsidR="00487786" w:rsidRDefault="00487786">
      <w:pPr>
        <w:rPr>
          <w:b/>
        </w:rPr>
      </w:pPr>
    </w:p>
    <w:p w:rsidR="00487786" w:rsidRDefault="009C73ED">
      <w:pPr>
        <w:spacing w:line="480" w:lineRule="auto"/>
        <w:ind w:firstLine="720"/>
        <w:rPr>
          <w:rFonts w:eastAsia="Calibri"/>
          <w:lang w:eastAsia="en-US"/>
        </w:rPr>
      </w:pPr>
      <w:r>
        <w:rPr>
          <w:rFonts w:eastAsia="Calibri"/>
          <w:lang w:eastAsia="en-US"/>
        </w:rPr>
        <w:t>Plaintiffs request that this Court push aside the expert agencies that Congress delegated to r</w:t>
      </w:r>
      <w:r>
        <w:rPr>
          <w:rFonts w:eastAsia="Calibri"/>
          <w:lang w:eastAsia="en-US"/>
        </w:rPr>
        <w:t>egulate air emissions and impose a newfound duty on the centuries-old rum industry.  But that request is preempted by the Clean Air Act.  Moreover, Plaintiffs have failed to plead facts, as opposed to labels and conclusions, plausibly supporting the elemen</w:t>
      </w:r>
      <w:r>
        <w:rPr>
          <w:rFonts w:eastAsia="Calibri"/>
          <w:lang w:eastAsia="en-US"/>
        </w:rPr>
        <w:t xml:space="preserve">ts of their claims.  Because Plaintiffs’ claims are fundamentally flawed—and no amount of re-pleading can fix them—this Court should dismiss the Complaint, and this case, with prejudice.  </w:t>
      </w:r>
      <w:bookmarkStart w:id="125" w:name="_MD_Rev193"/>
    </w:p>
    <w:bookmarkEnd w:id="125"/>
    <w:p w:rsidR="00487786" w:rsidRDefault="00487786">
      <w:pPr>
        <w:pStyle w:val="NoSpacing"/>
        <w:rPr>
          <w:b/>
        </w:rPr>
      </w:pPr>
    </w:p>
    <w:p w:rsidR="00487786" w:rsidRDefault="00487786">
      <w:pPr>
        <w:pStyle w:val="NoSpacing"/>
        <w:rPr>
          <w:b/>
        </w:rPr>
      </w:pPr>
    </w:p>
    <w:p w:rsidR="00487786" w:rsidRDefault="00487786">
      <w:pPr>
        <w:pStyle w:val="NoSpacing"/>
        <w:rPr>
          <w:b/>
        </w:rPr>
      </w:pPr>
    </w:p>
    <w:p w:rsidR="00487786" w:rsidRDefault="00487786">
      <w:pPr>
        <w:pStyle w:val="NoSpacing"/>
        <w:rPr>
          <w:b/>
        </w:rPr>
      </w:pPr>
    </w:p>
    <w:p w:rsidR="00487786" w:rsidRDefault="00487786">
      <w:pPr>
        <w:pStyle w:val="NoSpacing"/>
        <w:rPr>
          <w:b/>
        </w:rPr>
      </w:pPr>
    </w:p>
    <w:p w:rsidR="00487786" w:rsidRDefault="00487786">
      <w:pPr>
        <w:pStyle w:val="NoSpacing"/>
        <w:rPr>
          <w:b/>
        </w:rPr>
      </w:pPr>
    </w:p>
    <w:p w:rsidR="00487786" w:rsidRDefault="00487786">
      <w:pPr>
        <w:pStyle w:val="NoSpacing"/>
        <w:rPr>
          <w:b/>
        </w:rPr>
      </w:pPr>
    </w:p>
    <w:p w:rsidR="00487786" w:rsidRDefault="009C73ED">
      <w:pPr>
        <w:pStyle w:val="NoSpacing"/>
      </w:pPr>
      <w:r>
        <w:rPr>
          <w:b/>
        </w:rPr>
        <w:t xml:space="preserve">Dated: </w:t>
      </w:r>
      <w:r>
        <w:t xml:space="preserve"> July 29, 2013</w:t>
      </w:r>
    </w:p>
    <w:p w:rsidR="00487786" w:rsidRDefault="00487786">
      <w:pPr>
        <w:tabs>
          <w:tab w:val="left" w:pos="4140"/>
        </w:tabs>
      </w:pPr>
    </w:p>
    <w:p w:rsidR="00487786" w:rsidRDefault="009C73ED">
      <w:pPr>
        <w:tabs>
          <w:tab w:val="left" w:pos="4140"/>
        </w:tabs>
      </w:pPr>
      <w:r>
        <w:t>_______________________________</w:t>
      </w:r>
      <w:r>
        <w:tab/>
      </w:r>
      <w:r>
        <w:tab/>
      </w:r>
      <w:r>
        <w:tab/>
        <w:t>___</w:t>
      </w:r>
      <w:r>
        <w:t>_____________________________</w:t>
      </w:r>
    </w:p>
    <w:p w:rsidR="00487786" w:rsidRDefault="009C73ED">
      <w:pPr>
        <w:tabs>
          <w:tab w:val="left" w:pos="4140"/>
        </w:tabs>
        <w:rPr>
          <w:b/>
        </w:rPr>
      </w:pPr>
      <w:r>
        <w:rPr>
          <w:b/>
        </w:rPr>
        <w:t>Chad C. Messier, Esq.</w:t>
      </w:r>
      <w:r>
        <w:t xml:space="preserve"> </w:t>
      </w:r>
      <w:bookmarkStart w:id="126" w:name="_DV_M82"/>
      <w:bookmarkEnd w:id="126"/>
      <w:r>
        <w:t>(Bar No. 497)</w:t>
      </w:r>
      <w:r>
        <w:rPr>
          <w:b/>
        </w:rPr>
        <w:t xml:space="preserve"> </w:t>
      </w:r>
      <w:r>
        <w:rPr>
          <w:b/>
        </w:rPr>
        <w:tab/>
      </w:r>
      <w:r>
        <w:rPr>
          <w:b/>
        </w:rPr>
        <w:tab/>
      </w:r>
      <w:r>
        <w:rPr>
          <w:b/>
        </w:rPr>
        <w:tab/>
        <w:t xml:space="preserve">Joel H. Holt, Esq. </w:t>
      </w:r>
      <w:r>
        <w:t>(Bar No. 6)</w:t>
      </w:r>
      <w:r>
        <w:rPr>
          <w:b/>
        </w:rPr>
        <w:tab/>
      </w:r>
    </w:p>
    <w:p w:rsidR="00487786" w:rsidRDefault="009C73ED">
      <w:pPr>
        <w:tabs>
          <w:tab w:val="left" w:pos="4140"/>
        </w:tabs>
      </w:pPr>
      <w:r>
        <w:rPr>
          <w:b/>
        </w:rPr>
        <w:t xml:space="preserve">Stefan B. </w:t>
      </w:r>
      <w:proofErr w:type="spellStart"/>
      <w:r>
        <w:rPr>
          <w:b/>
        </w:rPr>
        <w:t>Herpel</w:t>
      </w:r>
      <w:proofErr w:type="spellEnd"/>
      <w:r>
        <w:rPr>
          <w:b/>
        </w:rPr>
        <w:t>, Esq.</w:t>
      </w:r>
      <w:r>
        <w:t xml:space="preserve"> (Bar No. 1019)</w:t>
      </w:r>
      <w:r>
        <w:tab/>
      </w:r>
      <w:r>
        <w:tab/>
      </w:r>
      <w:r>
        <w:tab/>
        <w:t>Law Offices of Joel H. Holt</w:t>
      </w:r>
    </w:p>
    <w:p w:rsidR="00487786" w:rsidRDefault="009C73ED">
      <w:pPr>
        <w:tabs>
          <w:tab w:val="left" w:pos="4140"/>
        </w:tabs>
      </w:pPr>
      <w:r>
        <w:rPr>
          <w:i/>
        </w:rPr>
        <w:t xml:space="preserve">Counsel for Defendant, </w:t>
      </w:r>
      <w:r>
        <w:rPr>
          <w:i/>
        </w:rPr>
        <w:tab/>
      </w:r>
      <w:r>
        <w:rPr>
          <w:i/>
        </w:rPr>
        <w:tab/>
      </w:r>
      <w:r>
        <w:rPr>
          <w:i/>
        </w:rPr>
        <w:tab/>
        <w:t xml:space="preserve">Counsel for Defendant, Diageo </w:t>
      </w:r>
      <w:proofErr w:type="spellStart"/>
      <w:r>
        <w:rPr>
          <w:i/>
        </w:rPr>
        <w:t>USVI</w:t>
      </w:r>
      <w:proofErr w:type="spellEnd"/>
    </w:p>
    <w:p w:rsidR="00487786" w:rsidRDefault="009C73ED">
      <w:pPr>
        <w:rPr>
          <w:i/>
        </w:rPr>
      </w:pPr>
      <w:r>
        <w:rPr>
          <w:i/>
        </w:rPr>
        <w:t xml:space="preserve">   Cruzan </w:t>
      </w:r>
      <w:proofErr w:type="spellStart"/>
      <w:r>
        <w:rPr>
          <w:i/>
        </w:rPr>
        <w:t>VIRIL</w:t>
      </w:r>
      <w:proofErr w:type="spellEnd"/>
      <w:r>
        <w:rPr>
          <w:i/>
        </w:rPr>
        <w:t>, Ltd.</w:t>
      </w:r>
      <w:r>
        <w:t xml:space="preserve"> </w:t>
      </w:r>
      <w:r>
        <w:tab/>
      </w:r>
      <w:r>
        <w:tab/>
      </w:r>
      <w:r>
        <w:tab/>
      </w:r>
      <w:r>
        <w:tab/>
      </w:r>
      <w:r>
        <w:t>2132 Company Street</w:t>
      </w:r>
    </w:p>
    <w:p w:rsidR="00487786" w:rsidRDefault="009C73ED">
      <w:pPr>
        <w:tabs>
          <w:tab w:val="left" w:pos="4140"/>
        </w:tabs>
      </w:pPr>
      <w:r>
        <w:t xml:space="preserve">Dudley, Topper and </w:t>
      </w:r>
      <w:proofErr w:type="spellStart"/>
      <w:r>
        <w:t>Feuerzeig</w:t>
      </w:r>
      <w:proofErr w:type="spellEnd"/>
      <w:r>
        <w:t>, LLP</w:t>
      </w:r>
      <w:r>
        <w:tab/>
      </w:r>
      <w:r>
        <w:tab/>
      </w:r>
      <w:r>
        <w:tab/>
        <w:t>Christiansted, VI 00820</w:t>
      </w:r>
    </w:p>
    <w:p w:rsidR="00487786" w:rsidRDefault="009C73ED">
      <w:pPr>
        <w:tabs>
          <w:tab w:val="left" w:pos="4140"/>
        </w:tabs>
      </w:pPr>
      <w:r>
        <w:t xml:space="preserve">Law House, 1000 Frederiksberg </w:t>
      </w:r>
      <w:proofErr w:type="spellStart"/>
      <w:r>
        <w:t>Gade</w:t>
      </w:r>
      <w:proofErr w:type="spellEnd"/>
      <w:r>
        <w:t xml:space="preserve"> </w:t>
      </w:r>
      <w:r>
        <w:tab/>
      </w:r>
      <w:r>
        <w:tab/>
      </w:r>
      <w:r>
        <w:tab/>
        <w:t>Telephone: (340) 773-8709</w:t>
      </w:r>
    </w:p>
    <w:p w:rsidR="00487786" w:rsidRDefault="009C73ED">
      <w:pPr>
        <w:tabs>
          <w:tab w:val="left" w:pos="4140"/>
        </w:tabs>
      </w:pPr>
      <w:r>
        <w:t xml:space="preserve">P.O. Box 756 </w:t>
      </w:r>
      <w:r>
        <w:tab/>
      </w:r>
      <w:r>
        <w:tab/>
      </w:r>
      <w:r>
        <w:tab/>
        <w:t>Email: holtvi@aol.com</w:t>
      </w:r>
    </w:p>
    <w:p w:rsidR="00487786" w:rsidRDefault="009C73ED">
      <w:pPr>
        <w:tabs>
          <w:tab w:val="left" w:pos="4140"/>
        </w:tabs>
      </w:pPr>
      <w:r>
        <w:t xml:space="preserve">St. Thomas, </w:t>
      </w:r>
      <w:proofErr w:type="spellStart"/>
      <w:r>
        <w:t>USVI</w:t>
      </w:r>
      <w:proofErr w:type="spellEnd"/>
      <w:r>
        <w:t xml:space="preserve">  00804-0756</w:t>
      </w:r>
      <w:r>
        <w:tab/>
      </w:r>
      <w:r>
        <w:tab/>
      </w:r>
      <w:r>
        <w:tab/>
      </w:r>
    </w:p>
    <w:p w:rsidR="00487786" w:rsidRDefault="009C73ED">
      <w:pPr>
        <w:tabs>
          <w:tab w:val="left" w:pos="4140"/>
        </w:tabs>
      </w:pPr>
      <w:r>
        <w:t>Telephone: (340) 774-4422</w:t>
      </w:r>
      <w:r>
        <w:tab/>
      </w:r>
      <w:r>
        <w:tab/>
      </w:r>
      <w:r>
        <w:tab/>
      </w:r>
      <w:r>
        <w:rPr>
          <w:b/>
        </w:rPr>
        <w:t xml:space="preserve">Carl J. </w:t>
      </w:r>
      <w:r>
        <w:rPr>
          <w:b/>
        </w:rPr>
        <w:t>Hartmann III, Esq.</w:t>
      </w:r>
      <w:r>
        <w:t xml:space="preserve"> (Bar No. 48)</w:t>
      </w:r>
    </w:p>
    <w:p w:rsidR="00487786" w:rsidRDefault="009C73ED">
      <w:pPr>
        <w:tabs>
          <w:tab w:val="left" w:pos="4140"/>
        </w:tabs>
        <w:rPr>
          <w:b/>
        </w:rPr>
      </w:pPr>
      <w:r>
        <w:t>E-mail: cmessier@dtflaw.com</w:t>
      </w:r>
      <w:r>
        <w:rPr>
          <w:b/>
        </w:rPr>
        <w:t xml:space="preserve"> </w:t>
      </w:r>
      <w:r>
        <w:rPr>
          <w:b/>
        </w:rPr>
        <w:tab/>
      </w:r>
      <w:r>
        <w:rPr>
          <w:b/>
        </w:rPr>
        <w:tab/>
      </w:r>
      <w:r>
        <w:rPr>
          <w:b/>
        </w:rPr>
        <w:tab/>
      </w:r>
      <w:r>
        <w:rPr>
          <w:i/>
        </w:rPr>
        <w:t xml:space="preserve">Counsel for Defendant, Diageo </w:t>
      </w:r>
      <w:proofErr w:type="spellStart"/>
      <w:r>
        <w:rPr>
          <w:i/>
        </w:rPr>
        <w:t>USVI</w:t>
      </w:r>
      <w:proofErr w:type="spellEnd"/>
    </w:p>
    <w:p w:rsidR="00487786" w:rsidRDefault="009C73ED">
      <w:r>
        <w:tab/>
      </w:r>
      <w:r>
        <w:tab/>
      </w:r>
      <w:r>
        <w:tab/>
      </w:r>
      <w:r>
        <w:tab/>
      </w:r>
      <w:r>
        <w:tab/>
      </w:r>
      <w:r>
        <w:tab/>
      </w:r>
      <w:r>
        <w:tab/>
        <w:t>5000 Estate Coakley Bay, Unit L-6</w:t>
      </w:r>
      <w:r>
        <w:tab/>
      </w:r>
      <w:r>
        <w:tab/>
      </w:r>
      <w:r>
        <w:tab/>
      </w:r>
      <w:r>
        <w:tab/>
      </w:r>
      <w:r>
        <w:tab/>
      </w:r>
      <w:r>
        <w:tab/>
      </w:r>
      <w:r>
        <w:tab/>
      </w:r>
      <w:r>
        <w:tab/>
        <w:t>Christiansted, VI 00820</w:t>
      </w:r>
    </w:p>
    <w:p w:rsidR="00487786" w:rsidRDefault="009C73ED">
      <w:r>
        <w:tab/>
      </w:r>
      <w:r>
        <w:tab/>
      </w:r>
      <w:r>
        <w:tab/>
      </w:r>
      <w:r>
        <w:tab/>
      </w:r>
      <w:r>
        <w:tab/>
      </w:r>
      <w:r>
        <w:tab/>
      </w:r>
      <w:r>
        <w:tab/>
        <w:t>Telephone: (340) 719-8941</w:t>
      </w:r>
      <w:r>
        <w:tab/>
      </w:r>
      <w:r>
        <w:tab/>
      </w:r>
      <w:r>
        <w:tab/>
      </w:r>
      <w:r>
        <w:tab/>
      </w:r>
      <w:r>
        <w:tab/>
      </w:r>
      <w:r>
        <w:tab/>
      </w:r>
      <w:r>
        <w:tab/>
      </w:r>
      <w:r>
        <w:tab/>
      </w:r>
      <w:r>
        <w:tab/>
        <w:t xml:space="preserve">Email: </w:t>
      </w:r>
      <w:hyperlink r:id="rId9" w:history="1">
        <w:r>
          <w:rPr>
            <w:rStyle w:val="Hyperlink"/>
          </w:rPr>
          <w:t>carl@carlhartmann.com</w:t>
        </w:r>
      </w:hyperlink>
    </w:p>
    <w:p w:rsidR="00487786" w:rsidRDefault="009C73ED">
      <w:pPr>
        <w:jc w:val="left"/>
      </w:pPr>
      <w:r>
        <w:br w:type="page"/>
      </w:r>
    </w:p>
    <w:p w:rsidR="00487786" w:rsidRDefault="009C73ED">
      <w:pPr>
        <w:jc w:val="center"/>
        <w:rPr>
          <w:b/>
        </w:rPr>
      </w:pPr>
      <w:r>
        <w:rPr>
          <w:b/>
        </w:rPr>
        <w:lastRenderedPageBreak/>
        <w:t>CERTIFICATE OF SERVICE</w:t>
      </w:r>
    </w:p>
    <w:p w:rsidR="00487786" w:rsidRDefault="00487786">
      <w:pPr>
        <w:rPr>
          <w:sz w:val="16"/>
          <w:szCs w:val="16"/>
        </w:rPr>
      </w:pPr>
    </w:p>
    <w:p w:rsidR="00487786" w:rsidRDefault="009C73ED">
      <w:r>
        <w:tab/>
        <w:t>I hereby certify that on this 29</w:t>
      </w:r>
      <w:r>
        <w:rPr>
          <w:vertAlign w:val="superscript"/>
        </w:rPr>
        <w:t>th</w:t>
      </w:r>
      <w:r>
        <w:t xml:space="preserve"> day of July, 2013, I filed the foregoing with the Clerk of the Court, and delivered as indicated to the following:</w:t>
      </w:r>
    </w:p>
    <w:p w:rsidR="00487786" w:rsidRDefault="00487786"/>
    <w:p w:rsidR="00487786" w:rsidRDefault="009C73ED">
      <w:pPr>
        <w:rPr>
          <w:u w:val="single"/>
        </w:rPr>
      </w:pPr>
      <w:r>
        <w:rPr>
          <w:u w:val="single"/>
        </w:rPr>
        <w:t>EMAIL AND HAND DELIVER</w:t>
      </w:r>
    </w:p>
    <w:p w:rsidR="00487786" w:rsidRDefault="009C73ED">
      <w:pPr>
        <w:rPr>
          <w:b/>
          <w:color w:val="2A2A2A"/>
        </w:rPr>
      </w:pPr>
      <w:r>
        <w:rPr>
          <w:b/>
          <w:color w:val="2A2A2A"/>
        </w:rPr>
        <w:t xml:space="preserve">VINCENT </w:t>
      </w:r>
      <w:proofErr w:type="spellStart"/>
      <w:r>
        <w:rPr>
          <w:b/>
          <w:color w:val="2A2A2A"/>
        </w:rPr>
        <w:t>COLIANNI</w:t>
      </w:r>
      <w:proofErr w:type="spellEnd"/>
      <w:r>
        <w:rPr>
          <w:b/>
          <w:color w:val="2A2A2A"/>
        </w:rPr>
        <w:t>, II</w:t>
      </w:r>
    </w:p>
    <w:p w:rsidR="00487786" w:rsidRDefault="009C73ED">
      <w:pPr>
        <w:rPr>
          <w:color w:val="2A2A2A"/>
        </w:rPr>
      </w:pPr>
      <w:proofErr w:type="spellStart"/>
      <w:r>
        <w:rPr>
          <w:color w:val="2A2A2A"/>
        </w:rPr>
        <w:t>Colia</w:t>
      </w:r>
      <w:r>
        <w:rPr>
          <w:color w:val="2A2A2A"/>
        </w:rPr>
        <w:t>nni</w:t>
      </w:r>
      <w:proofErr w:type="spellEnd"/>
      <w:r>
        <w:rPr>
          <w:color w:val="2A2A2A"/>
        </w:rPr>
        <w:t xml:space="preserve"> &amp; </w:t>
      </w:r>
      <w:proofErr w:type="spellStart"/>
      <w:r>
        <w:rPr>
          <w:color w:val="2A2A2A"/>
        </w:rPr>
        <w:t>Colianni</w:t>
      </w:r>
      <w:proofErr w:type="spellEnd"/>
    </w:p>
    <w:p w:rsidR="00487786" w:rsidRDefault="009C73ED">
      <w:pPr>
        <w:rPr>
          <w:color w:val="2A2A2A"/>
        </w:rPr>
      </w:pPr>
      <w:r>
        <w:rPr>
          <w:color w:val="2A2A2A"/>
          <w:szCs w:val="25"/>
        </w:rPr>
        <w:t xml:space="preserve">1138 </w:t>
      </w:r>
      <w:r>
        <w:rPr>
          <w:color w:val="2A2A2A"/>
        </w:rPr>
        <w:t>King Street</w:t>
      </w:r>
    </w:p>
    <w:p w:rsidR="00487786" w:rsidRDefault="009C73ED">
      <w:pPr>
        <w:rPr>
          <w:color w:val="2A2A2A"/>
        </w:rPr>
      </w:pPr>
      <w:r>
        <w:rPr>
          <w:color w:val="2A2A2A"/>
        </w:rPr>
        <w:t>Christiansted</w:t>
      </w:r>
      <w:r>
        <w:rPr>
          <w:color w:val="494949"/>
        </w:rPr>
        <w:t xml:space="preserve">, </w:t>
      </w:r>
      <w:r>
        <w:rPr>
          <w:color w:val="2A2A2A"/>
        </w:rPr>
        <w:t>St. Croix</w:t>
      </w:r>
    </w:p>
    <w:p w:rsidR="00487786" w:rsidRDefault="009C73ED">
      <w:pPr>
        <w:rPr>
          <w:color w:val="2A2A2A"/>
        </w:rPr>
      </w:pPr>
      <w:r>
        <w:rPr>
          <w:color w:val="2A2A2A"/>
        </w:rPr>
        <w:t>U.S. Virgin Islands 00820</w:t>
      </w:r>
    </w:p>
    <w:p w:rsidR="00487786" w:rsidRDefault="009C73ED">
      <w:pPr>
        <w:rPr>
          <w:color w:val="2A2A2A"/>
          <w:szCs w:val="23"/>
        </w:rPr>
      </w:pPr>
      <w:r>
        <w:rPr>
          <w:color w:val="2A2A2A"/>
        </w:rPr>
        <w:t xml:space="preserve">vince@colianni.com, </w:t>
      </w:r>
    </w:p>
    <w:p w:rsidR="00487786" w:rsidRDefault="009C73ED">
      <w:pPr>
        <w:rPr>
          <w:color w:val="2A2A2A"/>
          <w:szCs w:val="23"/>
        </w:rPr>
      </w:pPr>
      <w:r>
        <w:rPr>
          <w:color w:val="2A2A2A"/>
        </w:rPr>
        <w:t>vinny@colianni.com</w:t>
      </w:r>
    </w:p>
    <w:p w:rsidR="00487786" w:rsidRDefault="00487786">
      <w:pPr>
        <w:rPr>
          <w:b/>
          <w:color w:val="2C2C2C"/>
          <w:szCs w:val="23"/>
        </w:rPr>
      </w:pPr>
    </w:p>
    <w:p w:rsidR="00487786" w:rsidRDefault="009C73ED">
      <w:pPr>
        <w:rPr>
          <w:color w:val="2C2C2C"/>
          <w:szCs w:val="23"/>
          <w:u w:val="single"/>
        </w:rPr>
      </w:pPr>
      <w:r>
        <w:rPr>
          <w:color w:val="2C2C2C"/>
          <w:szCs w:val="23"/>
          <w:u w:val="single"/>
        </w:rPr>
        <w:t xml:space="preserve">EMAIL AND </w:t>
      </w:r>
      <w:r>
        <w:rPr>
          <w:u w:val="single"/>
        </w:rPr>
        <w:t>U.S. MAIL</w:t>
      </w:r>
    </w:p>
    <w:p w:rsidR="00487786" w:rsidRDefault="009C73ED">
      <w:pPr>
        <w:rPr>
          <w:b/>
          <w:color w:val="2C2C2C"/>
          <w:szCs w:val="23"/>
        </w:rPr>
      </w:pPr>
      <w:r>
        <w:rPr>
          <w:b/>
          <w:color w:val="2C2C2C"/>
          <w:szCs w:val="23"/>
        </w:rPr>
        <w:t xml:space="preserve">WILLIAM F. </w:t>
      </w:r>
      <w:proofErr w:type="spellStart"/>
      <w:r>
        <w:rPr>
          <w:b/>
          <w:color w:val="2C2C2C"/>
          <w:szCs w:val="23"/>
        </w:rPr>
        <w:t>McMURRY</w:t>
      </w:r>
      <w:proofErr w:type="spellEnd"/>
    </w:p>
    <w:p w:rsidR="00487786" w:rsidRDefault="009C73ED">
      <w:pPr>
        <w:rPr>
          <w:color w:val="2C2C2C"/>
          <w:szCs w:val="23"/>
        </w:rPr>
      </w:pPr>
      <w:proofErr w:type="spellStart"/>
      <w:r>
        <w:rPr>
          <w:color w:val="2C2C2C"/>
          <w:szCs w:val="23"/>
        </w:rPr>
        <w:t>McMurry</w:t>
      </w:r>
      <w:proofErr w:type="spellEnd"/>
      <w:r>
        <w:rPr>
          <w:color w:val="2C2C2C"/>
          <w:szCs w:val="23"/>
        </w:rPr>
        <w:t xml:space="preserve"> </w:t>
      </w:r>
      <w:r>
        <w:rPr>
          <w:color w:val="2C2C2C"/>
          <w:szCs w:val="22"/>
        </w:rPr>
        <w:t xml:space="preserve">&amp; </w:t>
      </w:r>
      <w:r>
        <w:rPr>
          <w:color w:val="2C2C2C"/>
          <w:szCs w:val="23"/>
        </w:rPr>
        <w:t>Associates</w:t>
      </w:r>
    </w:p>
    <w:p w:rsidR="00487786" w:rsidRDefault="009C73ED">
      <w:pPr>
        <w:rPr>
          <w:color w:val="2C2C2C"/>
          <w:szCs w:val="23"/>
        </w:rPr>
      </w:pPr>
      <w:r>
        <w:rPr>
          <w:color w:val="2C2C2C"/>
          <w:szCs w:val="23"/>
        </w:rPr>
        <w:t>1201 Story Avenue, Suite 301</w:t>
      </w:r>
    </w:p>
    <w:p w:rsidR="00487786" w:rsidRDefault="009C73ED">
      <w:pPr>
        <w:rPr>
          <w:color w:val="2C2C2C"/>
          <w:szCs w:val="23"/>
        </w:rPr>
      </w:pPr>
      <w:r>
        <w:rPr>
          <w:color w:val="2C2C2C"/>
          <w:szCs w:val="23"/>
        </w:rPr>
        <w:t>Louisville, Kentucky 40206</w:t>
      </w:r>
    </w:p>
    <w:p w:rsidR="00487786" w:rsidRDefault="009C73ED">
      <w:pPr>
        <w:rPr>
          <w:color w:val="2C2C2C"/>
          <w:szCs w:val="23"/>
        </w:rPr>
      </w:pPr>
      <w:r>
        <w:rPr>
          <w:color w:val="2C2C2C"/>
          <w:szCs w:val="23"/>
        </w:rPr>
        <w:t>bill@courtroomlaw.com</w:t>
      </w:r>
    </w:p>
    <w:p w:rsidR="00487786" w:rsidRDefault="00487786">
      <w:pPr>
        <w:rPr>
          <w:color w:val="2C2C2C"/>
          <w:szCs w:val="23"/>
        </w:rPr>
      </w:pPr>
    </w:p>
    <w:p w:rsidR="00487786" w:rsidRDefault="009C73ED">
      <w:pPr>
        <w:rPr>
          <w:b/>
          <w:color w:val="2C2C2C"/>
          <w:szCs w:val="23"/>
        </w:rPr>
      </w:pPr>
      <w:r>
        <w:rPr>
          <w:b/>
          <w:color w:val="2C2C2C"/>
          <w:szCs w:val="23"/>
        </w:rPr>
        <w:t>DOUGLAS H. MORRIS</w:t>
      </w:r>
    </w:p>
    <w:p w:rsidR="00487786" w:rsidRDefault="009C73ED">
      <w:pPr>
        <w:rPr>
          <w:b/>
          <w:color w:val="2C2C2C"/>
          <w:szCs w:val="23"/>
        </w:rPr>
      </w:pPr>
      <w:r>
        <w:rPr>
          <w:b/>
          <w:color w:val="2C2C2C"/>
          <w:szCs w:val="23"/>
        </w:rPr>
        <w:t>LEA A. PLAYER</w:t>
      </w:r>
    </w:p>
    <w:p w:rsidR="00487786" w:rsidRDefault="009C73ED">
      <w:pPr>
        <w:rPr>
          <w:b/>
          <w:color w:val="2C2C2C"/>
          <w:szCs w:val="23"/>
        </w:rPr>
      </w:pPr>
      <w:r>
        <w:rPr>
          <w:b/>
          <w:color w:val="2C2C2C"/>
          <w:szCs w:val="23"/>
        </w:rPr>
        <w:t>ROBYN BELL STANTON</w:t>
      </w:r>
    </w:p>
    <w:p w:rsidR="00487786" w:rsidRDefault="009C73ED">
      <w:pPr>
        <w:rPr>
          <w:color w:val="2C2C2C"/>
          <w:szCs w:val="18"/>
        </w:rPr>
      </w:pPr>
      <w:r>
        <w:rPr>
          <w:color w:val="2C2C2C"/>
          <w:szCs w:val="23"/>
        </w:rPr>
        <w:t xml:space="preserve">Morris </w:t>
      </w:r>
      <w:r>
        <w:rPr>
          <w:color w:val="2C2C2C"/>
          <w:szCs w:val="22"/>
        </w:rPr>
        <w:t xml:space="preserve">&amp; </w:t>
      </w:r>
      <w:r>
        <w:rPr>
          <w:color w:val="2C2C2C"/>
          <w:szCs w:val="23"/>
        </w:rPr>
        <w:t xml:space="preserve">Player, </w:t>
      </w:r>
      <w:proofErr w:type="spellStart"/>
      <w:r>
        <w:rPr>
          <w:color w:val="2C2C2C"/>
          <w:szCs w:val="18"/>
        </w:rPr>
        <w:t>PLLC</w:t>
      </w:r>
      <w:proofErr w:type="spellEnd"/>
    </w:p>
    <w:p w:rsidR="00487786" w:rsidRDefault="009C73ED">
      <w:pPr>
        <w:rPr>
          <w:color w:val="2C2C2C"/>
          <w:szCs w:val="23"/>
        </w:rPr>
      </w:pPr>
      <w:r>
        <w:rPr>
          <w:color w:val="2C2C2C"/>
          <w:szCs w:val="23"/>
        </w:rPr>
        <w:t>1211 Herr Lane, Suite 205</w:t>
      </w:r>
    </w:p>
    <w:p w:rsidR="00487786" w:rsidRDefault="009C73ED">
      <w:pPr>
        <w:rPr>
          <w:color w:val="2C2C2C"/>
          <w:szCs w:val="23"/>
        </w:rPr>
      </w:pPr>
      <w:r>
        <w:rPr>
          <w:color w:val="2C2C2C"/>
          <w:szCs w:val="23"/>
        </w:rPr>
        <w:t>Louisville, KY 40222</w:t>
      </w:r>
    </w:p>
    <w:p w:rsidR="00487786" w:rsidRDefault="009C73ED">
      <w:pPr>
        <w:rPr>
          <w:rFonts w:eastAsia="HiddenHorzOCR"/>
          <w:color w:val="2C2C2C"/>
          <w:szCs w:val="18"/>
        </w:rPr>
      </w:pPr>
      <w:r>
        <w:rPr>
          <w:rFonts w:eastAsia="HiddenHorzOCR"/>
          <w:color w:val="2C2C2C"/>
          <w:szCs w:val="18"/>
        </w:rPr>
        <w:t>dhm@morrisplayer.com</w:t>
      </w:r>
    </w:p>
    <w:p w:rsidR="00487786" w:rsidRDefault="009C73ED">
      <w:pPr>
        <w:rPr>
          <w:rFonts w:eastAsia="HiddenHorzOCR"/>
          <w:color w:val="2C2C2C"/>
          <w:szCs w:val="23"/>
        </w:rPr>
      </w:pPr>
      <w:r>
        <w:rPr>
          <w:rFonts w:eastAsia="HiddenHorzOCR"/>
          <w:color w:val="2C2C2C"/>
          <w:szCs w:val="23"/>
        </w:rPr>
        <w:t>lap@morrisplayer.com</w:t>
      </w:r>
    </w:p>
    <w:p w:rsidR="00487786" w:rsidRDefault="009C73ED">
      <w:pPr>
        <w:jc w:val="left"/>
        <w:rPr>
          <w:rFonts w:eastAsia="Calibri"/>
          <w:lang w:eastAsia="en-US"/>
        </w:rPr>
      </w:pPr>
      <w:r>
        <w:rPr>
          <w:rFonts w:eastAsia="HiddenHorzOCR"/>
          <w:color w:val="2C2C2C"/>
          <w:szCs w:val="23"/>
        </w:rPr>
        <w:t>rbs@morrisplayer.com</w:t>
      </w:r>
      <w:r>
        <w:rPr>
          <w:rFonts w:eastAsia="HiddenHorzOCR"/>
          <w:color w:val="2C2C2C"/>
          <w:szCs w:val="23"/>
        </w:rPr>
        <w:tab/>
      </w:r>
      <w:r>
        <w:rPr>
          <w:rFonts w:eastAsia="HiddenHorzOCR"/>
          <w:color w:val="2C2C2C"/>
          <w:szCs w:val="23"/>
        </w:rPr>
        <w:tab/>
      </w:r>
      <w:r>
        <w:rPr>
          <w:rFonts w:eastAsia="HiddenHorzOCR"/>
          <w:color w:val="2C2C2C"/>
          <w:szCs w:val="23"/>
        </w:rPr>
        <w:tab/>
      </w:r>
      <w:r>
        <w:rPr>
          <w:rFonts w:eastAsia="HiddenHorzOCR"/>
          <w:color w:val="2C2C2C"/>
          <w:szCs w:val="23"/>
        </w:rPr>
        <w:tab/>
        <w:t>__________________________</w:t>
      </w:r>
    </w:p>
    <w:sectPr w:rsidR="00487786">
      <w:headerReference w:type="even" r:id="rId10"/>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3ED" w:rsidRDefault="009C73ED">
      <w:r>
        <w:separator/>
      </w:r>
    </w:p>
  </w:endnote>
  <w:endnote w:type="continuationSeparator" w:id="0">
    <w:p w:rsidR="009C73ED" w:rsidRDefault="009C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3ED" w:rsidRDefault="009C73ED">
      <w:r>
        <w:separator/>
      </w:r>
    </w:p>
  </w:footnote>
  <w:footnote w:type="continuationSeparator" w:id="0">
    <w:p w:rsidR="009C73ED" w:rsidRDefault="009C73ED">
      <w:r>
        <w:continuationSeparator/>
      </w:r>
    </w:p>
  </w:footnote>
  <w:footnote w:id="1">
    <w:p w:rsidR="00487786" w:rsidRDefault="009C73ED">
      <w:pPr>
        <w:autoSpaceDE w:val="0"/>
        <w:autoSpaceDN w:val="0"/>
        <w:adjustRightInd w:val="0"/>
        <w:rPr>
          <w:sz w:val="22"/>
          <w:szCs w:val="22"/>
        </w:rPr>
      </w:pPr>
      <w:r>
        <w:rPr>
          <w:rStyle w:val="FootnoteReference"/>
          <w:sz w:val="22"/>
          <w:szCs w:val="22"/>
        </w:rPr>
        <w:footnoteRef/>
      </w:r>
      <w:r>
        <w:rPr>
          <w:sz w:val="22"/>
          <w:szCs w:val="22"/>
        </w:rPr>
        <w:t xml:space="preserve"> Rum has always been critical to the St. Croix economy.  In the early days, it was a main export.  In fact, during the Great Depression, it helped the federal government keep the island functioning.  Darwin </w:t>
      </w:r>
      <w:proofErr w:type="spellStart"/>
      <w:r>
        <w:rPr>
          <w:sz w:val="22"/>
          <w:szCs w:val="22"/>
        </w:rPr>
        <w:t>Creque</w:t>
      </w:r>
      <w:proofErr w:type="spellEnd"/>
      <w:r>
        <w:rPr>
          <w:sz w:val="22"/>
          <w:szCs w:val="22"/>
        </w:rPr>
        <w:t xml:space="preserve">, </w:t>
      </w:r>
      <w:r>
        <w:rPr>
          <w:i/>
          <w:sz w:val="22"/>
          <w:szCs w:val="22"/>
        </w:rPr>
        <w:t>From ‘Poorhouse’ To Prosperity</w:t>
      </w:r>
      <w:r>
        <w:rPr>
          <w:sz w:val="22"/>
          <w:szCs w:val="22"/>
        </w:rPr>
        <w:t xml:space="preserve">, </w:t>
      </w:r>
      <w:proofErr w:type="spellStart"/>
      <w:r>
        <w:rPr>
          <w:sz w:val="22"/>
          <w:szCs w:val="22"/>
        </w:rPr>
        <w:t>V.I</w:t>
      </w:r>
      <w:proofErr w:type="spellEnd"/>
      <w:r>
        <w:rPr>
          <w:sz w:val="22"/>
          <w:szCs w:val="22"/>
        </w:rPr>
        <w:t>. Dail</w:t>
      </w:r>
      <w:r>
        <w:rPr>
          <w:sz w:val="22"/>
          <w:szCs w:val="22"/>
        </w:rPr>
        <w:t xml:space="preserve">y News, Aug. 2, 1965, at 28-29; Charles </w:t>
      </w:r>
      <w:proofErr w:type="spellStart"/>
      <w:r>
        <w:rPr>
          <w:sz w:val="22"/>
          <w:szCs w:val="22"/>
        </w:rPr>
        <w:t>Hillinger</w:t>
      </w:r>
      <w:proofErr w:type="spellEnd"/>
      <w:r>
        <w:rPr>
          <w:sz w:val="22"/>
          <w:szCs w:val="22"/>
        </w:rPr>
        <w:t xml:space="preserve">, </w:t>
      </w:r>
      <w:r>
        <w:rPr>
          <w:i/>
          <w:sz w:val="22"/>
          <w:szCs w:val="22"/>
        </w:rPr>
        <w:t>Caribbean Rum Trade Blends History With Success</w:t>
      </w:r>
      <w:r>
        <w:rPr>
          <w:sz w:val="22"/>
          <w:szCs w:val="22"/>
        </w:rPr>
        <w:t xml:space="preserve">, LA Times (May 25, 1987), </w:t>
      </w:r>
      <w:r>
        <w:rPr>
          <w:i/>
          <w:sz w:val="22"/>
          <w:szCs w:val="22"/>
        </w:rPr>
        <w:t xml:space="preserve">available at </w:t>
      </w:r>
      <w:r>
        <w:rPr>
          <w:sz w:val="22"/>
          <w:szCs w:val="22"/>
        </w:rPr>
        <w:t>http://articles.latimes.com/1987-05-25/business/fi-1514_1_sugar-cane (last accessed July 24, 2013).  As noted above, t</w:t>
      </w:r>
      <w:r>
        <w:rPr>
          <w:sz w:val="22"/>
          <w:szCs w:val="22"/>
        </w:rPr>
        <w:t xml:space="preserve">oday, rum is the only remaining major production industry on St. Croix.  </w:t>
      </w:r>
      <w:r>
        <w:rPr>
          <w:i/>
          <w:sz w:val="22"/>
          <w:szCs w:val="22"/>
        </w:rPr>
        <w:t xml:space="preserve">See, e.g., </w:t>
      </w:r>
      <w:r>
        <w:rPr>
          <w:sz w:val="22"/>
          <w:szCs w:val="22"/>
        </w:rPr>
        <w:t xml:space="preserve">Governor's statement as quoted in </w:t>
      </w:r>
      <w:r>
        <w:rPr>
          <w:rFonts w:eastAsiaTheme="minorEastAsia"/>
          <w:i/>
          <w:sz w:val="22"/>
          <w:szCs w:val="22"/>
        </w:rPr>
        <w:t xml:space="preserve">Other Nations' Attack on </w:t>
      </w:r>
      <w:proofErr w:type="spellStart"/>
      <w:r>
        <w:rPr>
          <w:rFonts w:eastAsiaTheme="minorEastAsia"/>
          <w:i/>
          <w:sz w:val="22"/>
          <w:szCs w:val="22"/>
        </w:rPr>
        <w:t>V.I</w:t>
      </w:r>
      <w:proofErr w:type="spellEnd"/>
      <w:r>
        <w:rPr>
          <w:rFonts w:eastAsiaTheme="minorEastAsia"/>
          <w:i/>
          <w:sz w:val="22"/>
          <w:szCs w:val="22"/>
        </w:rPr>
        <w:t>. Rum Cover-Over is Misguided</w:t>
      </w:r>
      <w:r>
        <w:rPr>
          <w:rFonts w:eastAsiaTheme="minorEastAsia"/>
          <w:sz w:val="22"/>
          <w:szCs w:val="22"/>
        </w:rPr>
        <w:t xml:space="preserve">, </w:t>
      </w:r>
      <w:proofErr w:type="spellStart"/>
      <w:r>
        <w:rPr>
          <w:rFonts w:eastAsiaTheme="minorEastAsia"/>
          <w:sz w:val="22"/>
          <w:szCs w:val="22"/>
        </w:rPr>
        <w:t>V.I</w:t>
      </w:r>
      <w:proofErr w:type="spellEnd"/>
      <w:r>
        <w:rPr>
          <w:rFonts w:eastAsiaTheme="minorEastAsia"/>
          <w:sz w:val="22"/>
          <w:szCs w:val="22"/>
        </w:rPr>
        <w:t xml:space="preserve">. Daily News, (Apr. 19, 2013), </w:t>
      </w:r>
      <w:r>
        <w:rPr>
          <w:rFonts w:eastAsiaTheme="minorEastAsia"/>
          <w:i/>
          <w:sz w:val="22"/>
          <w:szCs w:val="22"/>
        </w:rPr>
        <w:t>available at</w:t>
      </w:r>
      <w:r>
        <w:rPr>
          <w:rFonts w:eastAsiaTheme="minorEastAsia"/>
          <w:sz w:val="22"/>
          <w:szCs w:val="22"/>
        </w:rPr>
        <w:t xml:space="preserve"> </w:t>
      </w:r>
      <w:r>
        <w:t>http://virginislandsdailynews.co</w:t>
      </w:r>
      <w:r>
        <w:t>m/op-ed/other-nations-attack-on-v-i-rum-cover-over-is-misguided-1.1475403</w:t>
      </w:r>
      <w:r>
        <w:rPr>
          <w:rFonts w:eastAsiaTheme="minorEastAsia"/>
          <w:color w:val="751D00"/>
          <w:sz w:val="22"/>
          <w:szCs w:val="22"/>
        </w:rPr>
        <w:t xml:space="preserve"> </w:t>
      </w:r>
      <w:r>
        <w:rPr>
          <w:sz w:val="22"/>
          <w:szCs w:val="22"/>
        </w:rPr>
        <w:t>(last accessed July 24, 2013).</w:t>
      </w:r>
    </w:p>
  </w:footnote>
  <w:footnote w:id="2">
    <w:p w:rsidR="00487786" w:rsidRDefault="009C73ED">
      <w:pPr>
        <w:pStyle w:val="FootnoteText"/>
        <w:rPr>
          <w:sz w:val="22"/>
          <w:szCs w:val="22"/>
        </w:rPr>
      </w:pPr>
      <w:r>
        <w:rPr>
          <w:rStyle w:val="FootnoteReference"/>
          <w:sz w:val="22"/>
          <w:szCs w:val="22"/>
        </w:rPr>
        <w:footnoteRef/>
      </w:r>
      <w:r>
        <w:rPr>
          <w:sz w:val="22"/>
          <w:szCs w:val="22"/>
        </w:rPr>
        <w:t xml:space="preserve"> The U.S. Virgin Islands and other territories are assigned the same rights and responsibilities as states under the </w:t>
      </w:r>
      <w:proofErr w:type="spellStart"/>
      <w:r>
        <w:rPr>
          <w:sz w:val="22"/>
          <w:szCs w:val="22"/>
        </w:rPr>
        <w:t>CAA</w:t>
      </w:r>
      <w:proofErr w:type="spellEnd"/>
      <w:r>
        <w:rPr>
          <w:sz w:val="22"/>
          <w:szCs w:val="22"/>
        </w:rPr>
        <w:t xml:space="preserve">.  </w:t>
      </w:r>
      <w:proofErr w:type="spellStart"/>
      <w:r>
        <w:rPr>
          <w:sz w:val="22"/>
          <w:szCs w:val="22"/>
        </w:rPr>
        <w:t>CAA</w:t>
      </w:r>
      <w:proofErr w:type="spellEnd"/>
      <w:r>
        <w:rPr>
          <w:sz w:val="22"/>
          <w:szCs w:val="22"/>
        </w:rPr>
        <w:t xml:space="preserve"> § 302(d), 42 </w:t>
      </w:r>
      <w:proofErr w:type="spellStart"/>
      <w:r>
        <w:rPr>
          <w:sz w:val="22"/>
          <w:szCs w:val="22"/>
        </w:rPr>
        <w:t>U.S.C</w:t>
      </w:r>
      <w:proofErr w:type="spellEnd"/>
      <w:r>
        <w:rPr>
          <w:sz w:val="22"/>
          <w:szCs w:val="22"/>
        </w:rPr>
        <w:t>. § 7</w:t>
      </w:r>
      <w:r>
        <w:rPr>
          <w:sz w:val="22"/>
          <w:szCs w:val="22"/>
        </w:rPr>
        <w:t xml:space="preserve">602(d) (defining “State” to include “the Virgin Islands” and other territories).  When discussing the </w:t>
      </w:r>
      <w:proofErr w:type="spellStart"/>
      <w:r>
        <w:rPr>
          <w:sz w:val="22"/>
          <w:szCs w:val="22"/>
        </w:rPr>
        <w:t>CAA</w:t>
      </w:r>
      <w:proofErr w:type="spellEnd"/>
      <w:r>
        <w:rPr>
          <w:sz w:val="22"/>
          <w:szCs w:val="22"/>
        </w:rPr>
        <w:t xml:space="preserve"> and its obligations, this memorandum will refer to territories as states. </w:t>
      </w:r>
    </w:p>
    <w:p w:rsidR="00487786" w:rsidRDefault="009C73ED">
      <w:pPr>
        <w:pStyle w:val="FootnoteText"/>
        <w:rPr>
          <w:sz w:val="22"/>
          <w:szCs w:val="22"/>
        </w:rPr>
      </w:pPr>
      <w:r>
        <w:rPr>
          <w:sz w:val="22"/>
          <w:szCs w:val="22"/>
        </w:rPr>
        <w:t xml:space="preserve"> </w:t>
      </w:r>
    </w:p>
  </w:footnote>
  <w:footnote w:id="3">
    <w:p w:rsidR="00487786" w:rsidRDefault="009C73ED">
      <w:pPr>
        <w:pStyle w:val="FootnoteText"/>
        <w:rPr>
          <w:sz w:val="22"/>
          <w:szCs w:val="22"/>
        </w:rPr>
      </w:pPr>
      <w:r>
        <w:rPr>
          <w:rStyle w:val="FootnoteReference"/>
          <w:sz w:val="22"/>
          <w:szCs w:val="22"/>
        </w:rPr>
        <w:footnoteRef/>
      </w:r>
      <w:r>
        <w:rPr>
          <w:sz w:val="22"/>
          <w:szCs w:val="22"/>
        </w:rPr>
        <w:t xml:space="preserve"> Letter from Richard C. </w:t>
      </w:r>
      <w:proofErr w:type="spellStart"/>
      <w:r>
        <w:rPr>
          <w:sz w:val="22"/>
          <w:szCs w:val="22"/>
        </w:rPr>
        <w:t>Hittinger</w:t>
      </w:r>
      <w:proofErr w:type="spellEnd"/>
      <w:r>
        <w:rPr>
          <w:sz w:val="22"/>
          <w:szCs w:val="22"/>
        </w:rPr>
        <w:t xml:space="preserve">, President, Alliance </w:t>
      </w:r>
      <w:proofErr w:type="spellStart"/>
      <w:r>
        <w:rPr>
          <w:sz w:val="22"/>
          <w:szCs w:val="22"/>
        </w:rPr>
        <w:t>Envtl</w:t>
      </w:r>
      <w:proofErr w:type="spellEnd"/>
      <w:r>
        <w:rPr>
          <w:sz w:val="22"/>
          <w:szCs w:val="22"/>
        </w:rPr>
        <w:t xml:space="preserve">. </w:t>
      </w:r>
      <w:proofErr w:type="spellStart"/>
      <w:r>
        <w:rPr>
          <w:sz w:val="22"/>
          <w:szCs w:val="22"/>
        </w:rPr>
        <w:t>Grp</w:t>
      </w:r>
      <w:proofErr w:type="spellEnd"/>
      <w:r>
        <w:rPr>
          <w:sz w:val="22"/>
          <w:szCs w:val="22"/>
        </w:rPr>
        <w:t>., Inc.</w:t>
      </w:r>
      <w:r>
        <w:rPr>
          <w:sz w:val="22"/>
          <w:szCs w:val="22"/>
        </w:rPr>
        <w:t xml:space="preserve">, to Frank Jon, </w:t>
      </w:r>
      <w:proofErr w:type="spellStart"/>
      <w:r>
        <w:rPr>
          <w:sz w:val="22"/>
          <w:szCs w:val="22"/>
        </w:rPr>
        <w:t>Envtl</w:t>
      </w:r>
      <w:proofErr w:type="spellEnd"/>
      <w:r>
        <w:rPr>
          <w:sz w:val="22"/>
          <w:szCs w:val="22"/>
        </w:rPr>
        <w:t xml:space="preserve">. </w:t>
      </w:r>
      <w:proofErr w:type="spellStart"/>
      <w:r>
        <w:rPr>
          <w:sz w:val="22"/>
          <w:szCs w:val="22"/>
        </w:rPr>
        <w:t>Eng’r</w:t>
      </w:r>
      <w:proofErr w:type="spellEnd"/>
      <w:r>
        <w:rPr>
          <w:sz w:val="22"/>
          <w:szCs w:val="22"/>
        </w:rPr>
        <w:t xml:space="preserve">, U.S. EPA Region 2 (Mar. 16, 2009) (Exhibit 1); Letter from Richard C. </w:t>
      </w:r>
      <w:proofErr w:type="spellStart"/>
      <w:r>
        <w:rPr>
          <w:sz w:val="22"/>
          <w:szCs w:val="22"/>
        </w:rPr>
        <w:t>Hittinger</w:t>
      </w:r>
      <w:proofErr w:type="spellEnd"/>
      <w:r>
        <w:rPr>
          <w:sz w:val="22"/>
          <w:szCs w:val="22"/>
        </w:rPr>
        <w:t xml:space="preserve">, President, Alliance </w:t>
      </w:r>
      <w:proofErr w:type="spellStart"/>
      <w:r>
        <w:rPr>
          <w:sz w:val="22"/>
          <w:szCs w:val="22"/>
        </w:rPr>
        <w:t>Envtl</w:t>
      </w:r>
      <w:proofErr w:type="spellEnd"/>
      <w:r>
        <w:rPr>
          <w:sz w:val="22"/>
          <w:szCs w:val="22"/>
        </w:rPr>
        <w:t xml:space="preserve">. </w:t>
      </w:r>
      <w:proofErr w:type="spellStart"/>
      <w:r>
        <w:rPr>
          <w:sz w:val="22"/>
          <w:szCs w:val="22"/>
        </w:rPr>
        <w:t>Grp</w:t>
      </w:r>
      <w:proofErr w:type="spellEnd"/>
      <w:r>
        <w:rPr>
          <w:sz w:val="22"/>
          <w:szCs w:val="22"/>
        </w:rPr>
        <w:t xml:space="preserve">., Inc., to Nadine </w:t>
      </w:r>
      <w:proofErr w:type="spellStart"/>
      <w:r>
        <w:rPr>
          <w:sz w:val="22"/>
          <w:szCs w:val="22"/>
        </w:rPr>
        <w:t>Noorhasan</w:t>
      </w:r>
      <w:proofErr w:type="spellEnd"/>
      <w:r>
        <w:rPr>
          <w:sz w:val="22"/>
          <w:szCs w:val="22"/>
        </w:rPr>
        <w:t xml:space="preserve">, Dir., </w:t>
      </w:r>
      <w:proofErr w:type="spellStart"/>
      <w:r>
        <w:rPr>
          <w:sz w:val="22"/>
          <w:szCs w:val="22"/>
        </w:rPr>
        <w:t>U.S.V.I</w:t>
      </w:r>
      <w:proofErr w:type="spellEnd"/>
      <w:r>
        <w:rPr>
          <w:sz w:val="22"/>
          <w:szCs w:val="22"/>
        </w:rPr>
        <w:t xml:space="preserve">. </w:t>
      </w:r>
      <w:proofErr w:type="spellStart"/>
      <w:r>
        <w:rPr>
          <w:sz w:val="22"/>
          <w:szCs w:val="22"/>
        </w:rPr>
        <w:t>DPNR</w:t>
      </w:r>
      <w:proofErr w:type="spellEnd"/>
      <w:r>
        <w:rPr>
          <w:sz w:val="22"/>
          <w:szCs w:val="22"/>
        </w:rPr>
        <w:t xml:space="preserve">, Div. of </w:t>
      </w:r>
      <w:proofErr w:type="spellStart"/>
      <w:r>
        <w:rPr>
          <w:sz w:val="22"/>
          <w:szCs w:val="22"/>
        </w:rPr>
        <w:t>Envtl</w:t>
      </w:r>
      <w:proofErr w:type="spellEnd"/>
      <w:r>
        <w:rPr>
          <w:sz w:val="22"/>
          <w:szCs w:val="22"/>
        </w:rPr>
        <w:t>. Prot. (Jan. 23, 2009) (Exhibit 2)</w:t>
      </w:r>
      <w:bookmarkStart w:id="39" w:name="_MD_Rev1"/>
      <w:bookmarkEnd w:id="39"/>
      <w:r>
        <w:rPr>
          <w:sz w:val="22"/>
          <w:szCs w:val="22"/>
        </w:rPr>
        <w:t xml:space="preserve">.  </w:t>
      </w:r>
    </w:p>
    <w:p w:rsidR="00487786" w:rsidRDefault="009C73ED">
      <w:pPr>
        <w:pStyle w:val="FootnoteText"/>
        <w:rPr>
          <w:sz w:val="22"/>
          <w:szCs w:val="22"/>
        </w:rPr>
      </w:pPr>
      <w:r>
        <w:rPr>
          <w:sz w:val="22"/>
          <w:szCs w:val="22"/>
        </w:rPr>
        <w:t xml:space="preserve">  </w:t>
      </w:r>
    </w:p>
  </w:footnote>
  <w:footnote w:id="4">
    <w:p w:rsidR="00487786" w:rsidRDefault="009C73ED">
      <w:pPr>
        <w:pStyle w:val="FootnoteText"/>
        <w:rPr>
          <w:sz w:val="22"/>
          <w:szCs w:val="22"/>
        </w:rPr>
      </w:pPr>
      <w:r>
        <w:rPr>
          <w:rStyle w:val="FootnoteReference"/>
          <w:sz w:val="22"/>
          <w:szCs w:val="22"/>
        </w:rPr>
        <w:footnoteRef/>
      </w:r>
      <w:r>
        <w:rPr>
          <w:sz w:val="22"/>
          <w:szCs w:val="22"/>
        </w:rPr>
        <w:t xml:space="preserve"> “Fugiti</w:t>
      </w:r>
      <w:r>
        <w:rPr>
          <w:sz w:val="22"/>
          <w:szCs w:val="22"/>
        </w:rPr>
        <w:t xml:space="preserve">ve emissions” are those which “could not reasonably pass through a stack, chimney, vent, or other functionally equivalent opening.”  40 </w:t>
      </w:r>
      <w:proofErr w:type="spellStart"/>
      <w:r>
        <w:rPr>
          <w:sz w:val="22"/>
          <w:szCs w:val="22"/>
        </w:rPr>
        <w:t>C.F.R</w:t>
      </w:r>
      <w:proofErr w:type="spellEnd"/>
      <w:r>
        <w:rPr>
          <w:sz w:val="22"/>
          <w:szCs w:val="22"/>
        </w:rPr>
        <w:t xml:space="preserve">. § 52.21(b)(20); 12 </w:t>
      </w:r>
      <w:proofErr w:type="spellStart"/>
      <w:r>
        <w:rPr>
          <w:sz w:val="22"/>
          <w:szCs w:val="22"/>
        </w:rPr>
        <w:t>V.I.C</w:t>
      </w:r>
      <w:proofErr w:type="spellEnd"/>
      <w:r>
        <w:rPr>
          <w:sz w:val="22"/>
          <w:szCs w:val="22"/>
        </w:rPr>
        <w:t>. § 202(k).  Fugitive emissions are not considered in determining whether a stationary so</w:t>
      </w:r>
      <w:r>
        <w:rPr>
          <w:sz w:val="22"/>
          <w:szCs w:val="22"/>
        </w:rPr>
        <w:t xml:space="preserve">urce is a “major source” and thus subject to additional permitting requirements under Title V of the </w:t>
      </w:r>
      <w:proofErr w:type="spellStart"/>
      <w:r>
        <w:rPr>
          <w:sz w:val="22"/>
          <w:szCs w:val="22"/>
        </w:rPr>
        <w:t>CAA</w:t>
      </w:r>
      <w:proofErr w:type="spellEnd"/>
      <w:r>
        <w:rPr>
          <w:sz w:val="22"/>
          <w:szCs w:val="22"/>
        </w:rPr>
        <w:t xml:space="preserve">.  12-9 </w:t>
      </w:r>
      <w:proofErr w:type="spellStart"/>
      <w:r>
        <w:rPr>
          <w:sz w:val="22"/>
          <w:szCs w:val="22"/>
        </w:rPr>
        <w:t>V.I</w:t>
      </w:r>
      <w:proofErr w:type="spellEnd"/>
      <w:r>
        <w:rPr>
          <w:sz w:val="22"/>
          <w:szCs w:val="22"/>
        </w:rPr>
        <w:t xml:space="preserve">. R. &amp; </w:t>
      </w:r>
      <w:proofErr w:type="spellStart"/>
      <w:r>
        <w:rPr>
          <w:sz w:val="22"/>
          <w:szCs w:val="22"/>
        </w:rPr>
        <w:t>Regs</w:t>
      </w:r>
      <w:proofErr w:type="spellEnd"/>
      <w:r>
        <w:rPr>
          <w:sz w:val="22"/>
          <w:szCs w:val="22"/>
        </w:rPr>
        <w:t>. § 204-20(</w:t>
      </w:r>
      <w:proofErr w:type="spellStart"/>
      <w:r>
        <w:rPr>
          <w:sz w:val="22"/>
          <w:szCs w:val="22"/>
        </w:rPr>
        <w:t>hh</w:t>
      </w:r>
      <w:proofErr w:type="spellEnd"/>
      <w:r>
        <w:rPr>
          <w:sz w:val="22"/>
          <w:szCs w:val="22"/>
        </w:rPr>
        <w:t xml:space="preserve">)(2); </w:t>
      </w:r>
      <w:r>
        <w:rPr>
          <w:i/>
          <w:sz w:val="22"/>
          <w:szCs w:val="22"/>
        </w:rPr>
        <w:t xml:space="preserve">id. </w:t>
      </w:r>
      <w:r>
        <w:rPr>
          <w:sz w:val="22"/>
          <w:szCs w:val="22"/>
        </w:rPr>
        <w:t>§ 206-51(a)(1) (“Any major source” is required to obtain a Title V permit).</w:t>
      </w:r>
    </w:p>
    <w:p w:rsidR="00487786" w:rsidRDefault="00487786">
      <w:pPr>
        <w:pStyle w:val="FootnoteText"/>
        <w:rPr>
          <w:sz w:val="22"/>
          <w:szCs w:val="22"/>
        </w:rPr>
      </w:pPr>
    </w:p>
  </w:footnote>
  <w:footnote w:id="5">
    <w:p w:rsidR="00487786" w:rsidRDefault="009C73ED">
      <w:pPr>
        <w:rPr>
          <w:sz w:val="22"/>
          <w:szCs w:val="22"/>
        </w:rPr>
      </w:pPr>
      <w:bookmarkStart w:id="40" w:name="_MD_Rev5"/>
      <w:bookmarkStart w:id="41" w:name="_MD_Rev7"/>
      <w:bookmarkStart w:id="42" w:name="_MD_Rev6"/>
      <w:bookmarkEnd w:id="40"/>
      <w:r>
        <w:rPr>
          <w:rStyle w:val="FootnoteReference"/>
          <w:sz w:val="22"/>
          <w:szCs w:val="22"/>
        </w:rPr>
        <w:footnoteRef/>
      </w:r>
      <w:bookmarkStart w:id="43" w:name="_MD_Rev8"/>
      <w:bookmarkEnd w:id="41"/>
      <w:r>
        <w:rPr>
          <w:sz w:val="22"/>
          <w:szCs w:val="22"/>
        </w:rPr>
        <w:t xml:space="preserve"> The Court can take judicial notice of—and consider for purposes of this motion to dismiss—the Defendants’ permits and application materials, the EPA and state regulatory documents, Plaintiffs’ property records, and the other public records cited by Defend</w:t>
      </w:r>
      <w:r>
        <w:rPr>
          <w:sz w:val="22"/>
          <w:szCs w:val="22"/>
        </w:rPr>
        <w:t xml:space="preserve">ants.  </w:t>
      </w:r>
      <w:bookmarkStart w:id="44" w:name="_MD_Rev9"/>
      <w:bookmarkEnd w:id="43"/>
      <w:r>
        <w:rPr>
          <w:i/>
          <w:sz w:val="22"/>
          <w:szCs w:val="22"/>
        </w:rPr>
        <w:t xml:space="preserve">See </w:t>
      </w:r>
      <w:bookmarkStart w:id="45" w:name="_MD_Rev10"/>
      <w:bookmarkEnd w:id="44"/>
      <w:r>
        <w:rPr>
          <w:i/>
          <w:iCs/>
          <w:color w:val="000000"/>
          <w:sz w:val="22"/>
          <w:szCs w:val="22"/>
        </w:rPr>
        <w:t xml:space="preserve">In re Kelvin </w:t>
      </w:r>
      <w:proofErr w:type="spellStart"/>
      <w:r>
        <w:rPr>
          <w:i/>
          <w:iCs/>
          <w:color w:val="000000"/>
          <w:sz w:val="22"/>
          <w:szCs w:val="22"/>
        </w:rPr>
        <w:t>Manbodh</w:t>
      </w:r>
      <w:proofErr w:type="spellEnd"/>
      <w:r>
        <w:rPr>
          <w:i/>
          <w:iCs/>
          <w:color w:val="000000"/>
          <w:sz w:val="22"/>
          <w:szCs w:val="22"/>
        </w:rPr>
        <w:t xml:space="preserve"> Asbestos Litigation Series</w:t>
      </w:r>
      <w:bookmarkStart w:id="46" w:name="_MD_Rev11"/>
      <w:bookmarkEnd w:id="45"/>
      <w:r>
        <w:rPr>
          <w:color w:val="000000"/>
          <w:sz w:val="22"/>
          <w:szCs w:val="22"/>
        </w:rPr>
        <w:t>, No. 324/1997, 2006 WL 1084317, at *3 (</w:t>
      </w:r>
      <w:proofErr w:type="spellStart"/>
      <w:r>
        <w:rPr>
          <w:color w:val="000000"/>
          <w:sz w:val="22"/>
          <w:szCs w:val="22"/>
        </w:rPr>
        <w:t>D.V.I</w:t>
      </w:r>
      <w:proofErr w:type="spellEnd"/>
      <w:r>
        <w:rPr>
          <w:color w:val="000000"/>
          <w:sz w:val="22"/>
          <w:szCs w:val="22"/>
        </w:rPr>
        <w:t xml:space="preserve">.  Mar. 6, 2006) (court can consider on a motion to dismiss “matters that the court can take judicial notice of”); </w:t>
      </w:r>
      <w:bookmarkStart w:id="47" w:name="_MD_Rev12"/>
      <w:bookmarkEnd w:id="46"/>
      <w:r>
        <w:rPr>
          <w:i/>
          <w:color w:val="000000"/>
          <w:sz w:val="22"/>
          <w:szCs w:val="22"/>
        </w:rPr>
        <w:t>see also</w:t>
      </w:r>
      <w:bookmarkStart w:id="48" w:name="_MD_Rev13"/>
      <w:bookmarkEnd w:id="47"/>
      <w:r>
        <w:rPr>
          <w:sz w:val="22"/>
          <w:szCs w:val="22"/>
        </w:rPr>
        <w:t xml:space="preserve"> </w:t>
      </w:r>
      <w:bookmarkStart w:id="49" w:name="_MD_Rev14"/>
      <w:bookmarkEnd w:id="48"/>
      <w:proofErr w:type="spellStart"/>
      <w:r>
        <w:rPr>
          <w:i/>
          <w:color w:val="000000"/>
          <w:sz w:val="22"/>
          <w:szCs w:val="22"/>
        </w:rPr>
        <w:t>Papasan</w:t>
      </w:r>
      <w:proofErr w:type="spellEnd"/>
      <w:r>
        <w:rPr>
          <w:i/>
          <w:color w:val="000000"/>
          <w:sz w:val="22"/>
          <w:szCs w:val="22"/>
        </w:rPr>
        <w:t xml:space="preserve"> v. </w:t>
      </w:r>
      <w:proofErr w:type="spellStart"/>
      <w:r>
        <w:rPr>
          <w:i/>
          <w:color w:val="000000"/>
          <w:sz w:val="22"/>
          <w:szCs w:val="22"/>
        </w:rPr>
        <w:t>Allain</w:t>
      </w:r>
      <w:proofErr w:type="spellEnd"/>
      <w:r>
        <w:rPr>
          <w:i/>
          <w:color w:val="000000"/>
          <w:sz w:val="22"/>
          <w:szCs w:val="22"/>
        </w:rPr>
        <w:t xml:space="preserve">, </w:t>
      </w:r>
      <w:bookmarkStart w:id="50" w:name="_MD_Rev15"/>
      <w:bookmarkEnd w:id="49"/>
      <w:r>
        <w:rPr>
          <w:color w:val="000000"/>
          <w:sz w:val="22"/>
          <w:szCs w:val="22"/>
        </w:rPr>
        <w:t>478 U.S. 2</w:t>
      </w:r>
      <w:r>
        <w:rPr>
          <w:color w:val="000000"/>
          <w:sz w:val="22"/>
          <w:szCs w:val="22"/>
        </w:rPr>
        <w:t xml:space="preserve">65, 268 </w:t>
      </w:r>
      <w:proofErr w:type="spellStart"/>
      <w:r>
        <w:rPr>
          <w:color w:val="000000"/>
          <w:sz w:val="22"/>
          <w:szCs w:val="22"/>
        </w:rPr>
        <w:t>n.1</w:t>
      </w:r>
      <w:proofErr w:type="spellEnd"/>
      <w:r>
        <w:rPr>
          <w:color w:val="000000"/>
          <w:sz w:val="22"/>
          <w:szCs w:val="22"/>
        </w:rPr>
        <w:t xml:space="preserve"> (1986) (“Although this case comes to us on a motion to dismiss under Federal Rule of Civil Procedure 12(b), we are not precluded in our review of the complaint from taking notice of items in the public record . . . .”).  </w:t>
      </w:r>
      <w:bookmarkEnd w:id="42"/>
      <w:bookmarkEnd w:id="50"/>
    </w:p>
  </w:footnote>
  <w:footnote w:id="6">
    <w:p w:rsidR="00487786" w:rsidRDefault="009C73ED">
      <w:pPr>
        <w:pStyle w:val="FootnoteText"/>
        <w:rPr>
          <w:lang w:val="en"/>
        </w:rPr>
      </w:pPr>
      <w:r>
        <w:rPr>
          <w:rStyle w:val="FootnoteReference"/>
        </w:rPr>
        <w:footnoteRef/>
      </w:r>
      <w:r>
        <w:t xml:space="preserve"> Warranty Deed No. 4126/1992 between 1845 Corporation and </w:t>
      </w:r>
      <w:proofErr w:type="spellStart"/>
      <w:r>
        <w:t>Alleyne</w:t>
      </w:r>
      <w:proofErr w:type="spellEnd"/>
      <w:r>
        <w:t xml:space="preserve"> (Recorded Jul. 21, 1992); Warranty Deed between Robles and </w:t>
      </w:r>
      <w:proofErr w:type="spellStart"/>
      <w:r>
        <w:t>Bicette</w:t>
      </w:r>
      <w:proofErr w:type="spellEnd"/>
      <w:r>
        <w:t xml:space="preserve"> (Recorded Feb. 25, 2005); Warranty Deed between </w:t>
      </w:r>
      <w:proofErr w:type="spellStart"/>
      <w:r>
        <w:t>Billman</w:t>
      </w:r>
      <w:proofErr w:type="spellEnd"/>
      <w:r>
        <w:t xml:space="preserve"> and Blackman (Recorded May 11, 2005); Warranty Deed between </w:t>
      </w:r>
      <w:proofErr w:type="spellStart"/>
      <w:r>
        <w:t>Kasdan</w:t>
      </w:r>
      <w:proofErr w:type="spellEnd"/>
      <w:r>
        <w:t xml:space="preserve"> </w:t>
      </w:r>
      <w:r>
        <w:t xml:space="preserve">and John (Recorded June 7, 2007); Warranty Deed between Noel and </w:t>
      </w:r>
      <w:proofErr w:type="spellStart"/>
      <w:r>
        <w:t>Grouby</w:t>
      </w:r>
      <w:proofErr w:type="spellEnd"/>
      <w:r>
        <w:t xml:space="preserve"> (Recorded Oct. 12, 2000); Warranty Deed No. 5986/1990 between Hernandez and Rivera (Recorded Aug. 22, 1990).  </w:t>
      </w:r>
      <w:r>
        <w:rPr>
          <w:i/>
        </w:rPr>
        <w:t xml:space="preserve">See </w:t>
      </w:r>
      <w:r>
        <w:rPr>
          <w:lang w:val="en"/>
        </w:rPr>
        <w:t>Exhibit 11.</w:t>
      </w:r>
    </w:p>
    <w:p w:rsidR="00487786" w:rsidRDefault="00487786">
      <w:pPr>
        <w:pStyle w:val="FootnoteText"/>
      </w:pPr>
    </w:p>
  </w:footnote>
  <w:footnote w:id="7">
    <w:p w:rsidR="00487786" w:rsidRDefault="009C73ED">
      <w:pPr>
        <w:pStyle w:val="FootnoteText"/>
        <w:rPr>
          <w:sz w:val="22"/>
          <w:szCs w:val="22"/>
        </w:rPr>
      </w:pPr>
      <w:r>
        <w:rPr>
          <w:rStyle w:val="FootnoteReference"/>
          <w:sz w:val="22"/>
          <w:szCs w:val="22"/>
        </w:rPr>
        <w:footnoteRef/>
      </w:r>
      <w:r>
        <w:rPr>
          <w:sz w:val="22"/>
          <w:szCs w:val="22"/>
        </w:rPr>
        <w:t xml:space="preserve"> </w:t>
      </w:r>
      <w:proofErr w:type="spellStart"/>
      <w:r>
        <w:rPr>
          <w:sz w:val="22"/>
          <w:szCs w:val="22"/>
        </w:rPr>
        <w:t>Alleyne</w:t>
      </w:r>
      <w:proofErr w:type="spellEnd"/>
      <w:r>
        <w:rPr>
          <w:sz w:val="22"/>
          <w:szCs w:val="22"/>
        </w:rPr>
        <w:t xml:space="preserve"> in 1992, </w:t>
      </w:r>
      <w:proofErr w:type="spellStart"/>
      <w:r>
        <w:rPr>
          <w:sz w:val="22"/>
          <w:szCs w:val="22"/>
        </w:rPr>
        <w:t>Bicette</w:t>
      </w:r>
      <w:proofErr w:type="spellEnd"/>
      <w:r>
        <w:rPr>
          <w:sz w:val="22"/>
          <w:szCs w:val="22"/>
        </w:rPr>
        <w:t xml:space="preserve"> in 2005, Blackman in 2005, Joh</w:t>
      </w:r>
      <w:r>
        <w:rPr>
          <w:sz w:val="22"/>
          <w:szCs w:val="22"/>
        </w:rPr>
        <w:t xml:space="preserve">n in 2007, and the owners of the property rented by A. </w:t>
      </w:r>
      <w:proofErr w:type="spellStart"/>
      <w:r>
        <w:rPr>
          <w:sz w:val="22"/>
          <w:szCs w:val="22"/>
        </w:rPr>
        <w:t>Sanes</w:t>
      </w:r>
      <w:proofErr w:type="spellEnd"/>
      <w:r>
        <w:rPr>
          <w:sz w:val="22"/>
          <w:szCs w:val="22"/>
        </w:rPr>
        <w:t xml:space="preserve"> in 2000 and S. </w:t>
      </w:r>
      <w:proofErr w:type="spellStart"/>
      <w:r>
        <w:rPr>
          <w:sz w:val="22"/>
          <w:szCs w:val="22"/>
        </w:rPr>
        <w:t>Sanes</w:t>
      </w:r>
      <w:proofErr w:type="spellEnd"/>
      <w:r>
        <w:rPr>
          <w:sz w:val="22"/>
          <w:szCs w:val="22"/>
        </w:rPr>
        <w:t xml:space="preserve"> in 1990.</w:t>
      </w:r>
      <w:r>
        <w:rPr>
          <w:sz w:val="22"/>
          <w:szCs w:val="22"/>
        </w:rPr>
        <w:br/>
      </w:r>
    </w:p>
  </w:footnote>
  <w:footnote w:id="8">
    <w:p w:rsidR="00487786" w:rsidRDefault="009C73ED">
      <w:pPr>
        <w:tabs>
          <w:tab w:val="left" w:pos="720"/>
          <w:tab w:val="left" w:pos="1440"/>
          <w:tab w:val="left" w:pos="2160"/>
          <w:tab w:val="left" w:pos="2880"/>
          <w:tab w:val="left" w:pos="3600"/>
          <w:tab w:val="left" w:pos="4320"/>
          <w:tab w:val="left" w:pos="5040"/>
          <w:tab w:val="left" w:pos="5760"/>
        </w:tabs>
        <w:spacing w:line="480" w:lineRule="auto"/>
        <w:rPr>
          <w:bCs/>
          <w:iCs/>
          <w:sz w:val="22"/>
          <w:szCs w:val="22"/>
        </w:rPr>
      </w:pPr>
      <w:bookmarkStart w:id="59" w:name="_MD_Rev18"/>
      <w:r>
        <w:rPr>
          <w:rStyle w:val="FootnoteReference"/>
          <w:sz w:val="22"/>
          <w:szCs w:val="22"/>
        </w:rPr>
        <w:footnoteRef/>
      </w:r>
      <w:r>
        <w:rPr>
          <w:sz w:val="22"/>
          <w:szCs w:val="22"/>
        </w:rPr>
        <w:t xml:space="preserve"> </w:t>
      </w:r>
      <w:bookmarkEnd w:id="59"/>
      <w:r>
        <w:rPr>
          <w:sz w:val="22"/>
          <w:szCs w:val="22"/>
        </w:rPr>
        <w:t>As Judge Gomez recently explained:</w:t>
      </w:r>
    </w:p>
    <w:p w:rsidR="00487786" w:rsidRDefault="009C73ED">
      <w:pPr>
        <w:ind w:left="720" w:right="720"/>
        <w:rPr>
          <w:sz w:val="22"/>
          <w:szCs w:val="22"/>
        </w:rPr>
      </w:pPr>
      <w:r>
        <w:rPr>
          <w:sz w:val="22"/>
          <w:szCs w:val="22"/>
        </w:rPr>
        <w:t>To determine the sufficiency of a complaint . . . a court must take three steps: First, the court must ‘</w:t>
      </w:r>
      <w:proofErr w:type="spellStart"/>
      <w:r>
        <w:rPr>
          <w:sz w:val="22"/>
          <w:szCs w:val="22"/>
        </w:rPr>
        <w:t>tak</w:t>
      </w:r>
      <w:proofErr w:type="spellEnd"/>
      <w:r>
        <w:rPr>
          <w:sz w:val="22"/>
          <w:szCs w:val="22"/>
        </w:rPr>
        <w:t>[e] note of the elem</w:t>
      </w:r>
      <w:r>
        <w:rPr>
          <w:sz w:val="22"/>
          <w:szCs w:val="22"/>
        </w:rPr>
        <w:t>ents a plaintiff must plead to state a claim.’ . . . . Second, the court should identify allegations that, ‘because they are no more than conclusions, are not entitled to the assumption of truth’ . . . . Finally, ‘where there are well-pleaded factual alleg</w:t>
      </w:r>
      <w:r>
        <w:rPr>
          <w:sz w:val="22"/>
          <w:szCs w:val="22"/>
        </w:rPr>
        <w:t xml:space="preserve">ations, a court should assume their veracity and then determine whether they plausibly give rise to an entitlement for relief.’ </w:t>
      </w:r>
    </w:p>
    <w:p w:rsidR="00487786" w:rsidRDefault="00487786">
      <w:pPr>
        <w:rPr>
          <w:sz w:val="22"/>
          <w:szCs w:val="22"/>
        </w:rPr>
      </w:pPr>
    </w:p>
    <w:p w:rsidR="00487786" w:rsidRDefault="009C73ED">
      <w:pPr>
        <w:pStyle w:val="FootnoteText"/>
        <w:rPr>
          <w:sz w:val="22"/>
          <w:szCs w:val="22"/>
        </w:rPr>
      </w:pPr>
      <w:r>
        <w:rPr>
          <w:i/>
          <w:iCs/>
          <w:kern w:val="36"/>
          <w:sz w:val="22"/>
          <w:szCs w:val="22"/>
        </w:rPr>
        <w:t>Watts v. Blake-Coleman</w:t>
      </w:r>
      <w:r>
        <w:rPr>
          <w:iCs/>
          <w:kern w:val="36"/>
          <w:sz w:val="22"/>
          <w:szCs w:val="22"/>
        </w:rPr>
        <w:t>,</w:t>
      </w:r>
      <w:r>
        <w:rPr>
          <w:i/>
          <w:iCs/>
          <w:kern w:val="36"/>
          <w:sz w:val="22"/>
          <w:szCs w:val="22"/>
        </w:rPr>
        <w:t xml:space="preserve"> </w:t>
      </w:r>
      <w:r>
        <w:rPr>
          <w:sz w:val="22"/>
          <w:szCs w:val="22"/>
        </w:rPr>
        <w:t>No. 2011-61, 2012 WL 1080323, at *2 (</w:t>
      </w:r>
      <w:proofErr w:type="spellStart"/>
      <w:r>
        <w:rPr>
          <w:sz w:val="22"/>
          <w:szCs w:val="22"/>
        </w:rPr>
        <w:t>D.V.I</w:t>
      </w:r>
      <w:proofErr w:type="spellEnd"/>
      <w:r>
        <w:rPr>
          <w:sz w:val="22"/>
          <w:szCs w:val="22"/>
        </w:rPr>
        <w:t xml:space="preserve">. Mar. 29, 2012). </w:t>
      </w:r>
    </w:p>
  </w:footnote>
  <w:footnote w:id="9">
    <w:p w:rsidR="00487786" w:rsidRDefault="009C73ED">
      <w:pPr>
        <w:pStyle w:val="FootnoteText"/>
        <w:rPr>
          <w:sz w:val="22"/>
          <w:szCs w:val="22"/>
        </w:rPr>
      </w:pPr>
      <w:r>
        <w:rPr>
          <w:rStyle w:val="FootnoteReference"/>
          <w:sz w:val="22"/>
          <w:szCs w:val="22"/>
        </w:rPr>
        <w:footnoteRef/>
      </w:r>
      <w:r>
        <w:rPr>
          <w:sz w:val="22"/>
          <w:szCs w:val="22"/>
        </w:rPr>
        <w:t xml:space="preserve"> The Supreme Court did not rule on the </w:t>
      </w:r>
      <w:proofErr w:type="spellStart"/>
      <w:r>
        <w:rPr>
          <w:sz w:val="22"/>
          <w:szCs w:val="22"/>
        </w:rPr>
        <w:t>C</w:t>
      </w:r>
      <w:r>
        <w:rPr>
          <w:sz w:val="22"/>
          <w:szCs w:val="22"/>
        </w:rPr>
        <w:t>AA’s</w:t>
      </w:r>
      <w:proofErr w:type="spellEnd"/>
      <w:r>
        <w:rPr>
          <w:sz w:val="22"/>
          <w:szCs w:val="22"/>
        </w:rPr>
        <w:t xml:space="preserve"> preemptive effect on state common law claims because no party had addressed the issue in briefing; instead, that decision was reserved for the court on remand.  </w:t>
      </w:r>
      <w:proofErr w:type="spellStart"/>
      <w:r>
        <w:rPr>
          <w:i/>
          <w:sz w:val="22"/>
          <w:szCs w:val="22"/>
        </w:rPr>
        <w:t>AEP</w:t>
      </w:r>
      <w:proofErr w:type="spellEnd"/>
      <w:r>
        <w:rPr>
          <w:sz w:val="22"/>
          <w:szCs w:val="22"/>
        </w:rPr>
        <w:t xml:space="preserve">, 131 S. Ct. at 2540.  Tellingly, however, the </w:t>
      </w:r>
      <w:proofErr w:type="spellStart"/>
      <w:r>
        <w:rPr>
          <w:i/>
          <w:sz w:val="22"/>
          <w:szCs w:val="22"/>
        </w:rPr>
        <w:t>AEP</w:t>
      </w:r>
      <w:proofErr w:type="spellEnd"/>
      <w:r>
        <w:rPr>
          <w:sz w:val="22"/>
          <w:szCs w:val="22"/>
        </w:rPr>
        <w:t xml:space="preserve"> plaintiffs voluntarily dismissed the</w:t>
      </w:r>
      <w:r>
        <w:rPr>
          <w:sz w:val="22"/>
          <w:szCs w:val="22"/>
        </w:rPr>
        <w:t xml:space="preserve">ir state law claims upon remand.  </w:t>
      </w:r>
      <w:r>
        <w:rPr>
          <w:i/>
          <w:sz w:val="22"/>
          <w:szCs w:val="22"/>
        </w:rPr>
        <w:t>See</w:t>
      </w:r>
      <w:r>
        <w:rPr>
          <w:sz w:val="22"/>
          <w:szCs w:val="22"/>
        </w:rPr>
        <w:t xml:space="preserve"> </w:t>
      </w:r>
      <w:r>
        <w:rPr>
          <w:i/>
          <w:sz w:val="22"/>
          <w:szCs w:val="22"/>
        </w:rPr>
        <w:t>Connecticut v. Am. Elec. Power Co.</w:t>
      </w:r>
      <w:r>
        <w:rPr>
          <w:sz w:val="22"/>
          <w:szCs w:val="22"/>
        </w:rPr>
        <w:t xml:space="preserve">, 406 F. Supp. </w:t>
      </w:r>
      <w:proofErr w:type="spellStart"/>
      <w:r>
        <w:rPr>
          <w:sz w:val="22"/>
          <w:szCs w:val="22"/>
        </w:rPr>
        <w:t>2d</w:t>
      </w:r>
      <w:proofErr w:type="spellEnd"/>
      <w:r>
        <w:rPr>
          <w:sz w:val="22"/>
          <w:szCs w:val="22"/>
        </w:rPr>
        <w:t xml:space="preserve"> 265 (</w:t>
      </w:r>
      <w:proofErr w:type="spellStart"/>
      <w:r>
        <w:rPr>
          <w:sz w:val="22"/>
          <w:szCs w:val="22"/>
        </w:rPr>
        <w:t>S.D.N.Y</w:t>
      </w:r>
      <w:proofErr w:type="spellEnd"/>
      <w:r>
        <w:rPr>
          <w:sz w:val="22"/>
          <w:szCs w:val="22"/>
        </w:rPr>
        <w:t>. 2009) (Notice of Voluntary Dismissal).</w:t>
      </w:r>
    </w:p>
  </w:footnote>
  <w:footnote w:id="10">
    <w:p w:rsidR="00487786" w:rsidRDefault="009C73ED">
      <w:pPr>
        <w:pStyle w:val="FootnoteText"/>
        <w:rPr>
          <w:sz w:val="22"/>
          <w:szCs w:val="22"/>
        </w:rPr>
      </w:pPr>
      <w:bookmarkStart w:id="100" w:name="_MD_Rev19"/>
      <w:r>
        <w:rPr>
          <w:rStyle w:val="FootnoteReference"/>
          <w:sz w:val="22"/>
          <w:szCs w:val="22"/>
        </w:rPr>
        <w:footnoteRef/>
      </w:r>
      <w:r>
        <w:rPr>
          <w:sz w:val="22"/>
          <w:szCs w:val="22"/>
        </w:rPr>
        <w:t xml:space="preserve"> In addition, Plaintiffs could bring a citizen suit under the </w:t>
      </w:r>
      <w:proofErr w:type="spellStart"/>
      <w:r>
        <w:rPr>
          <w:sz w:val="22"/>
          <w:szCs w:val="22"/>
        </w:rPr>
        <w:t>CAA</w:t>
      </w:r>
      <w:proofErr w:type="spellEnd"/>
      <w:r>
        <w:rPr>
          <w:sz w:val="22"/>
          <w:szCs w:val="22"/>
        </w:rPr>
        <w:t xml:space="preserve"> in federal district court to challenge Defenda</w:t>
      </w:r>
      <w:r>
        <w:rPr>
          <w:sz w:val="22"/>
          <w:szCs w:val="22"/>
        </w:rPr>
        <w:t xml:space="preserve">nts’ compliance with their operating permits and any standard in the </w:t>
      </w:r>
      <w:proofErr w:type="spellStart"/>
      <w:r>
        <w:rPr>
          <w:sz w:val="22"/>
          <w:szCs w:val="22"/>
        </w:rPr>
        <w:t>USVI</w:t>
      </w:r>
      <w:proofErr w:type="spellEnd"/>
      <w:r>
        <w:rPr>
          <w:sz w:val="22"/>
          <w:szCs w:val="22"/>
        </w:rPr>
        <w:t xml:space="preserve"> SIP.  Before doing so, Plaintiffs would have to provide </w:t>
      </w:r>
      <w:proofErr w:type="spellStart"/>
      <w:r>
        <w:rPr>
          <w:sz w:val="22"/>
          <w:szCs w:val="22"/>
        </w:rPr>
        <w:t>DPNR</w:t>
      </w:r>
      <w:proofErr w:type="spellEnd"/>
      <w:r>
        <w:rPr>
          <w:sz w:val="22"/>
          <w:szCs w:val="22"/>
        </w:rPr>
        <w:t xml:space="preserve"> with adequate notice and the opportunity to take action.  </w:t>
      </w:r>
      <w:proofErr w:type="spellStart"/>
      <w:r>
        <w:rPr>
          <w:sz w:val="22"/>
          <w:szCs w:val="22"/>
        </w:rPr>
        <w:t>CAA</w:t>
      </w:r>
      <w:proofErr w:type="spellEnd"/>
      <w:r>
        <w:rPr>
          <w:sz w:val="22"/>
          <w:szCs w:val="22"/>
        </w:rPr>
        <w:t xml:space="preserve"> § 304(b)(1)(A), 42 </w:t>
      </w:r>
      <w:proofErr w:type="spellStart"/>
      <w:r>
        <w:rPr>
          <w:sz w:val="22"/>
          <w:szCs w:val="22"/>
        </w:rPr>
        <w:t>U.S.C</w:t>
      </w:r>
      <w:proofErr w:type="spellEnd"/>
      <w:r>
        <w:rPr>
          <w:sz w:val="22"/>
          <w:szCs w:val="22"/>
        </w:rPr>
        <w:t>. § 7604(b)(1)(A).  This ensures th</w:t>
      </w:r>
      <w:r>
        <w:rPr>
          <w:sz w:val="22"/>
          <w:szCs w:val="22"/>
        </w:rPr>
        <w:t xml:space="preserve">at “it is [the agency], not the citizens, who is principally responsible for enforcing the law.”  </w:t>
      </w:r>
      <w:bookmarkStart w:id="101" w:name="_MD_Rev16"/>
      <w:bookmarkEnd w:id="101"/>
      <w:r>
        <w:rPr>
          <w:i/>
          <w:sz w:val="22"/>
          <w:szCs w:val="22"/>
        </w:rPr>
        <w:t>Citizens for Clean Power v. Indian River Power</w:t>
      </w:r>
      <w:r>
        <w:rPr>
          <w:sz w:val="22"/>
          <w:szCs w:val="22"/>
        </w:rPr>
        <w:t>,</w:t>
      </w:r>
      <w:bookmarkStart w:id="102" w:name="_MD_Rev17"/>
      <w:bookmarkEnd w:id="102"/>
      <w:r>
        <w:rPr>
          <w:i/>
          <w:sz w:val="22"/>
          <w:szCs w:val="22"/>
        </w:rPr>
        <w:t xml:space="preserve"> LLC</w:t>
      </w:r>
      <w:r>
        <w:rPr>
          <w:sz w:val="22"/>
          <w:szCs w:val="22"/>
        </w:rPr>
        <w:t xml:space="preserve">, 636 F. Supp. </w:t>
      </w:r>
      <w:proofErr w:type="spellStart"/>
      <w:r>
        <w:rPr>
          <w:sz w:val="22"/>
          <w:szCs w:val="22"/>
        </w:rPr>
        <w:t>2d</w:t>
      </w:r>
      <w:proofErr w:type="spellEnd"/>
      <w:r>
        <w:rPr>
          <w:sz w:val="22"/>
          <w:szCs w:val="22"/>
        </w:rPr>
        <w:t xml:space="preserve"> 351, 357 (D. Del. 2009).  </w:t>
      </w:r>
      <w:bookmarkEnd w:id="100"/>
    </w:p>
  </w:footnote>
  <w:footnote w:id="11">
    <w:p w:rsidR="00487786" w:rsidRDefault="009C73ED">
      <w:pPr>
        <w:pStyle w:val="FootnoteText"/>
        <w:rPr>
          <w:sz w:val="22"/>
          <w:szCs w:val="22"/>
        </w:rPr>
      </w:pPr>
      <w:r>
        <w:rPr>
          <w:rStyle w:val="FootnoteReference"/>
          <w:sz w:val="22"/>
          <w:szCs w:val="22"/>
        </w:rPr>
        <w:footnoteRef/>
      </w:r>
      <w:r>
        <w:rPr>
          <w:sz w:val="22"/>
          <w:szCs w:val="22"/>
        </w:rPr>
        <w:t xml:space="preserve"> Plaintiffs may argue that their claims are preserved by one </w:t>
      </w:r>
      <w:r>
        <w:rPr>
          <w:sz w:val="22"/>
          <w:szCs w:val="22"/>
        </w:rPr>
        <w:t xml:space="preserve">of the </w:t>
      </w:r>
      <w:proofErr w:type="spellStart"/>
      <w:r>
        <w:rPr>
          <w:sz w:val="22"/>
          <w:szCs w:val="22"/>
        </w:rPr>
        <w:t>CAA’s</w:t>
      </w:r>
      <w:proofErr w:type="spellEnd"/>
      <w:r>
        <w:rPr>
          <w:sz w:val="22"/>
          <w:szCs w:val="22"/>
        </w:rPr>
        <w:t xml:space="preserve"> two general savings provisions.  Neither savings clause, however, limits the Act’s preemptive effect over common law claims.  </w:t>
      </w:r>
      <w:r>
        <w:rPr>
          <w:i/>
          <w:sz w:val="22"/>
          <w:szCs w:val="22"/>
        </w:rPr>
        <w:t>See</w:t>
      </w:r>
      <w:r>
        <w:rPr>
          <w:sz w:val="22"/>
          <w:szCs w:val="22"/>
        </w:rPr>
        <w:t xml:space="preserve"> </w:t>
      </w:r>
      <w:proofErr w:type="spellStart"/>
      <w:r>
        <w:rPr>
          <w:sz w:val="22"/>
          <w:szCs w:val="22"/>
        </w:rPr>
        <w:t>CAA</w:t>
      </w:r>
      <w:proofErr w:type="spellEnd"/>
      <w:r>
        <w:rPr>
          <w:sz w:val="22"/>
          <w:szCs w:val="22"/>
        </w:rPr>
        <w:t xml:space="preserve"> §§ 304(e) (limiting preemptive effect of requirements “in this section,” </w:t>
      </w:r>
      <w:r>
        <w:rPr>
          <w:i/>
          <w:sz w:val="22"/>
          <w:szCs w:val="22"/>
        </w:rPr>
        <w:t>i.e.,</w:t>
      </w:r>
      <w:r>
        <w:rPr>
          <w:sz w:val="22"/>
          <w:szCs w:val="22"/>
        </w:rPr>
        <w:t xml:space="preserve"> requirements applicable to fed</w:t>
      </w:r>
      <w:r>
        <w:rPr>
          <w:sz w:val="22"/>
          <w:szCs w:val="22"/>
        </w:rPr>
        <w:t xml:space="preserve">eral citizen suits), 116 (preserving state authority to adopt more stringent emission standards), 42 </w:t>
      </w:r>
      <w:proofErr w:type="spellStart"/>
      <w:r>
        <w:rPr>
          <w:sz w:val="22"/>
          <w:szCs w:val="22"/>
        </w:rPr>
        <w:t>U.S.C</w:t>
      </w:r>
      <w:proofErr w:type="spellEnd"/>
      <w:r>
        <w:rPr>
          <w:sz w:val="22"/>
          <w:szCs w:val="22"/>
        </w:rPr>
        <w:t>. §§ 7604(e), 7416.  Moreover, a general savings clause “cannot in reason be construed as allowing a common law right, the continued existence of whic</w:t>
      </w:r>
      <w:r>
        <w:rPr>
          <w:sz w:val="22"/>
          <w:szCs w:val="22"/>
        </w:rPr>
        <w:t xml:space="preserve">h would be absolutely inconsistent with the provisions of the act.”  </w:t>
      </w:r>
      <w:r>
        <w:rPr>
          <w:i/>
          <w:sz w:val="22"/>
          <w:szCs w:val="22"/>
        </w:rPr>
        <w:t>AT&amp;T Mobility LLC v. Concepcion</w:t>
      </w:r>
      <w:r>
        <w:rPr>
          <w:sz w:val="22"/>
          <w:szCs w:val="22"/>
        </w:rPr>
        <w:t>, 131 S. Ct. 1740, 1748 (2011) (“[T]he act cannot be held to destroy itself.”).  Indeed, several federal and state courts have considered this issue and hel</w:t>
      </w:r>
      <w:r>
        <w:rPr>
          <w:sz w:val="22"/>
          <w:szCs w:val="22"/>
        </w:rPr>
        <w:t xml:space="preserve">d that the </w:t>
      </w:r>
      <w:proofErr w:type="spellStart"/>
      <w:r>
        <w:rPr>
          <w:sz w:val="22"/>
          <w:szCs w:val="22"/>
        </w:rPr>
        <w:t>CAA’s</w:t>
      </w:r>
      <w:proofErr w:type="spellEnd"/>
      <w:r>
        <w:rPr>
          <w:sz w:val="22"/>
          <w:szCs w:val="22"/>
        </w:rPr>
        <w:t xml:space="preserve"> savings clauses do not preserve state common law claims of the type at issue here.  </w:t>
      </w:r>
      <w:r>
        <w:rPr>
          <w:i/>
          <w:sz w:val="22"/>
          <w:szCs w:val="22"/>
        </w:rPr>
        <w:t>TVA</w:t>
      </w:r>
      <w:r>
        <w:rPr>
          <w:sz w:val="22"/>
          <w:szCs w:val="22"/>
        </w:rPr>
        <w:t xml:space="preserve">, 615 </w:t>
      </w:r>
      <w:proofErr w:type="spellStart"/>
      <w:r>
        <w:rPr>
          <w:sz w:val="22"/>
          <w:szCs w:val="22"/>
        </w:rPr>
        <w:t>F.3d</w:t>
      </w:r>
      <w:proofErr w:type="spellEnd"/>
      <w:r>
        <w:rPr>
          <w:sz w:val="22"/>
          <w:szCs w:val="22"/>
        </w:rPr>
        <w:t xml:space="preserve"> at 303-04; </w:t>
      </w:r>
      <w:r>
        <w:rPr>
          <w:i/>
          <w:sz w:val="22"/>
          <w:szCs w:val="22"/>
        </w:rPr>
        <w:t>Bell</w:t>
      </w:r>
      <w:r>
        <w:rPr>
          <w:sz w:val="22"/>
          <w:szCs w:val="22"/>
        </w:rPr>
        <w:t xml:space="preserve">, 903 F. Supp. </w:t>
      </w:r>
      <w:proofErr w:type="spellStart"/>
      <w:r>
        <w:rPr>
          <w:sz w:val="22"/>
          <w:szCs w:val="22"/>
        </w:rPr>
        <w:t>2d</w:t>
      </w:r>
      <w:proofErr w:type="spellEnd"/>
      <w:r>
        <w:rPr>
          <w:sz w:val="22"/>
          <w:szCs w:val="22"/>
        </w:rPr>
        <w:t xml:space="preserve"> at 322; </w:t>
      </w:r>
      <w:r>
        <w:rPr>
          <w:i/>
          <w:sz w:val="22"/>
          <w:szCs w:val="22"/>
        </w:rPr>
        <w:t>Freeman</w:t>
      </w:r>
      <w:r>
        <w:rPr>
          <w:sz w:val="22"/>
          <w:szCs w:val="22"/>
        </w:rPr>
        <w:t xml:space="preserve">, No. </w:t>
      </w:r>
      <w:proofErr w:type="spellStart"/>
      <w:r>
        <w:rPr>
          <w:sz w:val="22"/>
          <w:szCs w:val="22"/>
        </w:rPr>
        <w:t>LACV</w:t>
      </w:r>
      <w:proofErr w:type="spellEnd"/>
      <w:r>
        <w:rPr>
          <w:sz w:val="22"/>
          <w:szCs w:val="22"/>
        </w:rPr>
        <w:t xml:space="preserve"> 021232 at 19-21.</w:t>
      </w:r>
    </w:p>
  </w:footnote>
  <w:footnote w:id="12">
    <w:p w:rsidR="00487786" w:rsidRDefault="009C73ED">
      <w:pPr>
        <w:pStyle w:val="FootnoteText"/>
        <w:rPr>
          <w:sz w:val="22"/>
          <w:szCs w:val="22"/>
        </w:rPr>
      </w:pPr>
      <w:r>
        <w:rPr>
          <w:rStyle w:val="FootnoteReference"/>
          <w:sz w:val="22"/>
          <w:szCs w:val="22"/>
        </w:rPr>
        <w:footnoteRef/>
      </w:r>
      <w:r>
        <w:rPr>
          <w:sz w:val="22"/>
          <w:szCs w:val="22"/>
        </w:rPr>
        <w:t xml:space="preserve"> </w:t>
      </w:r>
      <w:proofErr w:type="spellStart"/>
      <w:r>
        <w:rPr>
          <w:sz w:val="22"/>
          <w:szCs w:val="22"/>
        </w:rPr>
        <w:t>DPNR’s</w:t>
      </w:r>
      <w:proofErr w:type="spellEnd"/>
      <w:r>
        <w:rPr>
          <w:sz w:val="22"/>
          <w:szCs w:val="22"/>
        </w:rPr>
        <w:t xml:space="preserve"> recent letters to Defendants raise the possibility of in</w:t>
      </w:r>
      <w:r>
        <w:rPr>
          <w:sz w:val="22"/>
          <w:szCs w:val="22"/>
        </w:rPr>
        <w:t xml:space="preserve">formally resolving citizen complaints by reducing ethanol emissions and helping to clean homes.  </w:t>
      </w:r>
      <w:r>
        <w:rPr>
          <w:i/>
          <w:sz w:val="22"/>
          <w:szCs w:val="22"/>
        </w:rPr>
        <w:t xml:space="preserve">See </w:t>
      </w:r>
      <w:r>
        <w:rPr>
          <w:sz w:val="22"/>
          <w:szCs w:val="22"/>
        </w:rPr>
        <w:t xml:space="preserve">Letter from Alicia Barnes, Commissioner, </w:t>
      </w:r>
      <w:proofErr w:type="spellStart"/>
      <w:r>
        <w:rPr>
          <w:sz w:val="22"/>
          <w:szCs w:val="22"/>
        </w:rPr>
        <w:t>DPNR</w:t>
      </w:r>
      <w:proofErr w:type="spellEnd"/>
      <w:r>
        <w:rPr>
          <w:sz w:val="22"/>
          <w:szCs w:val="22"/>
        </w:rPr>
        <w:t xml:space="preserve">, to Dan Kirby, Vice President, Diageo </w:t>
      </w:r>
      <w:proofErr w:type="spellStart"/>
      <w:r>
        <w:rPr>
          <w:sz w:val="22"/>
          <w:szCs w:val="22"/>
        </w:rPr>
        <w:t>USVI</w:t>
      </w:r>
      <w:proofErr w:type="spellEnd"/>
      <w:r>
        <w:rPr>
          <w:sz w:val="22"/>
          <w:szCs w:val="22"/>
        </w:rPr>
        <w:t xml:space="preserve"> (July 8, 2013) (Exhibit 9); Letter from Alicia Barnes, Commissione</w:t>
      </w:r>
      <w:r>
        <w:rPr>
          <w:sz w:val="22"/>
          <w:szCs w:val="22"/>
        </w:rPr>
        <w:t xml:space="preserve">r, </w:t>
      </w:r>
      <w:proofErr w:type="spellStart"/>
      <w:r>
        <w:rPr>
          <w:sz w:val="22"/>
          <w:szCs w:val="22"/>
        </w:rPr>
        <w:t>DPNR</w:t>
      </w:r>
      <w:proofErr w:type="spellEnd"/>
      <w:r>
        <w:rPr>
          <w:sz w:val="22"/>
          <w:szCs w:val="22"/>
        </w:rPr>
        <w:t xml:space="preserve">, to Gary </w:t>
      </w:r>
      <w:proofErr w:type="spellStart"/>
      <w:r>
        <w:rPr>
          <w:sz w:val="22"/>
          <w:szCs w:val="22"/>
        </w:rPr>
        <w:t>Nelthropp</w:t>
      </w:r>
      <w:proofErr w:type="spellEnd"/>
      <w:r>
        <w:rPr>
          <w:sz w:val="22"/>
          <w:szCs w:val="22"/>
        </w:rPr>
        <w:t xml:space="preserve">, Vice President, Virgin Islands Rum Ltd. / Cruzan Rum (July 8, 2013) (Exhibit 10).  But on their face, these letters are merely invitations for </w:t>
      </w:r>
      <w:proofErr w:type="spellStart"/>
      <w:r>
        <w:rPr>
          <w:sz w:val="22"/>
          <w:szCs w:val="22"/>
        </w:rPr>
        <w:t>DPNR</w:t>
      </w:r>
      <w:proofErr w:type="spellEnd"/>
      <w:r>
        <w:rPr>
          <w:sz w:val="22"/>
          <w:szCs w:val="22"/>
        </w:rPr>
        <w:t xml:space="preserve"> and Defendants to resolve amicably whether and how ethanol emissions should be r</w:t>
      </w:r>
      <w:r>
        <w:rPr>
          <w:sz w:val="22"/>
          <w:szCs w:val="22"/>
        </w:rPr>
        <w:t xml:space="preserve">educed.  The letters are not findings that ethanol emissions control technology is required or feasible or that the type of emissions control requested by Plaintiffs, </w:t>
      </w:r>
      <w:proofErr w:type="spellStart"/>
      <w:r>
        <w:rPr>
          <w:sz w:val="22"/>
          <w:szCs w:val="22"/>
        </w:rPr>
        <w:t>RTO</w:t>
      </w:r>
      <w:proofErr w:type="spellEnd"/>
      <w:r>
        <w:rPr>
          <w:sz w:val="22"/>
          <w:szCs w:val="22"/>
        </w:rPr>
        <w:t xml:space="preserve">, is even feasible.  The EPA has never concluded that emissions control technology is </w:t>
      </w:r>
      <w:r>
        <w:rPr>
          <w:sz w:val="22"/>
          <w:szCs w:val="22"/>
        </w:rPr>
        <w:t xml:space="preserve">feasible in connection with rum aging.  These letters do not change that fact.  As described above, what these letters do make plain is that the agencies charged with regulating air emissions under the </w:t>
      </w:r>
      <w:proofErr w:type="spellStart"/>
      <w:r>
        <w:rPr>
          <w:sz w:val="22"/>
          <w:szCs w:val="22"/>
        </w:rPr>
        <w:t>CAA</w:t>
      </w:r>
      <w:proofErr w:type="spellEnd"/>
      <w:r>
        <w:rPr>
          <w:sz w:val="22"/>
          <w:szCs w:val="22"/>
        </w:rPr>
        <w:t xml:space="preserve">—the EPA and </w:t>
      </w:r>
      <w:proofErr w:type="spellStart"/>
      <w:r>
        <w:rPr>
          <w:sz w:val="22"/>
          <w:szCs w:val="22"/>
        </w:rPr>
        <w:t>DPNR</w:t>
      </w:r>
      <w:proofErr w:type="spellEnd"/>
      <w:r>
        <w:rPr>
          <w:sz w:val="22"/>
          <w:szCs w:val="22"/>
        </w:rPr>
        <w:t xml:space="preserve">—are doing what Congress intended </w:t>
      </w:r>
      <w:r>
        <w:rPr>
          <w:sz w:val="22"/>
          <w:szCs w:val="22"/>
        </w:rPr>
        <w:t>that they, and not the courts, do.</w:t>
      </w:r>
    </w:p>
    <w:p w:rsidR="00487786" w:rsidRDefault="00487786">
      <w:pPr>
        <w:pStyle w:val="FootnoteText"/>
        <w:rPr>
          <w:sz w:val="22"/>
          <w:szCs w:val="22"/>
        </w:rPr>
      </w:pPr>
    </w:p>
  </w:footnote>
  <w:footnote w:id="13">
    <w:p w:rsidR="00487786" w:rsidRDefault="009C73ED">
      <w:pPr>
        <w:pStyle w:val="FootnoteText"/>
        <w:rPr>
          <w:sz w:val="22"/>
          <w:szCs w:val="22"/>
        </w:rPr>
      </w:pPr>
      <w:r>
        <w:rPr>
          <w:rStyle w:val="FootnoteReference"/>
          <w:sz w:val="22"/>
          <w:szCs w:val="22"/>
        </w:rPr>
        <w:footnoteRef/>
      </w:r>
      <w:r>
        <w:rPr>
          <w:sz w:val="22"/>
          <w:szCs w:val="22"/>
        </w:rPr>
        <w:t xml:space="preserve"> The phrase “reasonably available control technology” is interpreted by the EPA to mean the lowest emission limitation that a particular source is capable of meeting by the application of control technology that is reas</w:t>
      </w:r>
      <w:r>
        <w:rPr>
          <w:sz w:val="22"/>
          <w:szCs w:val="22"/>
        </w:rPr>
        <w:t>onably available considering technological and economic feasibility.  44 Fed. Reg. 53762 (Sept. 17, 1979).</w:t>
      </w:r>
    </w:p>
  </w:footnote>
  <w:footnote w:id="14">
    <w:p w:rsidR="00487786" w:rsidRDefault="009C73ED">
      <w:pPr>
        <w:pStyle w:val="FootnoteText"/>
        <w:rPr>
          <w:sz w:val="22"/>
          <w:szCs w:val="22"/>
        </w:rPr>
      </w:pPr>
      <w:r>
        <w:rPr>
          <w:rStyle w:val="FootnoteReference"/>
          <w:sz w:val="22"/>
          <w:szCs w:val="22"/>
        </w:rPr>
        <w:footnoteRef/>
      </w:r>
      <w:r>
        <w:rPr>
          <w:sz w:val="22"/>
          <w:szCs w:val="22"/>
        </w:rPr>
        <w:t xml:space="preserve"> Plaintiffs claim that “[a]</w:t>
      </w:r>
      <w:proofErr w:type="spellStart"/>
      <w:r>
        <w:rPr>
          <w:sz w:val="22"/>
          <w:szCs w:val="22"/>
        </w:rPr>
        <w:t>ny</w:t>
      </w:r>
      <w:proofErr w:type="spellEnd"/>
      <w:r>
        <w:rPr>
          <w:sz w:val="22"/>
          <w:szCs w:val="22"/>
        </w:rPr>
        <w:t xml:space="preserve"> differences between the design of rum and brandy-aging warehouses will not impede </w:t>
      </w:r>
      <w:proofErr w:type="spellStart"/>
      <w:r>
        <w:rPr>
          <w:sz w:val="22"/>
          <w:szCs w:val="22"/>
        </w:rPr>
        <w:t>Adwest’s</w:t>
      </w:r>
      <w:proofErr w:type="spellEnd"/>
      <w:r>
        <w:rPr>
          <w:sz w:val="22"/>
          <w:szCs w:val="22"/>
        </w:rPr>
        <w:t xml:space="preserve"> ability to apply the same </w:t>
      </w:r>
      <w:proofErr w:type="spellStart"/>
      <w:r>
        <w:rPr>
          <w:sz w:val="22"/>
          <w:szCs w:val="22"/>
        </w:rPr>
        <w:t>R</w:t>
      </w:r>
      <w:r>
        <w:rPr>
          <w:sz w:val="22"/>
          <w:szCs w:val="22"/>
        </w:rPr>
        <w:t>TO</w:t>
      </w:r>
      <w:proofErr w:type="spellEnd"/>
      <w:r>
        <w:rPr>
          <w:sz w:val="22"/>
          <w:szCs w:val="22"/>
        </w:rPr>
        <w:t xml:space="preserve"> technology to rum aging warehouses and achieve the same results as were achieved on brandy aging warehouses.”  </w:t>
      </w:r>
      <w:proofErr w:type="spellStart"/>
      <w:r>
        <w:rPr>
          <w:sz w:val="22"/>
          <w:szCs w:val="22"/>
        </w:rPr>
        <w:t>Compl</w:t>
      </w:r>
      <w:proofErr w:type="spellEnd"/>
      <w:r>
        <w:rPr>
          <w:sz w:val="22"/>
          <w:szCs w:val="22"/>
        </w:rPr>
        <w:t>. ¶</w:t>
      </w:r>
      <w:bookmarkStart w:id="122" w:name="_MD_Rev20"/>
      <w:r>
        <w:rPr>
          <w:sz w:val="22"/>
          <w:szCs w:val="22"/>
        </w:rPr>
        <w:t xml:space="preserve"> </w:t>
      </w:r>
      <w:bookmarkEnd w:id="122"/>
      <w:r>
        <w:rPr>
          <w:sz w:val="22"/>
          <w:szCs w:val="22"/>
        </w:rPr>
        <w:t xml:space="preserve">147.  But this is precisely the type of </w:t>
      </w:r>
      <w:proofErr w:type="spellStart"/>
      <w:r>
        <w:rPr>
          <w:sz w:val="22"/>
          <w:szCs w:val="22"/>
        </w:rPr>
        <w:t>conclusory</w:t>
      </w:r>
      <w:proofErr w:type="spellEnd"/>
      <w:r>
        <w:rPr>
          <w:sz w:val="22"/>
          <w:szCs w:val="22"/>
        </w:rPr>
        <w:t xml:space="preserve"> allegation that was rejected as irrelevant and insufficient in </w:t>
      </w:r>
      <w:proofErr w:type="spellStart"/>
      <w:r>
        <w:rPr>
          <w:i/>
          <w:sz w:val="22"/>
          <w:szCs w:val="22"/>
        </w:rPr>
        <w:t>Twombly</w:t>
      </w:r>
      <w:proofErr w:type="spellEnd"/>
      <w:r>
        <w:rPr>
          <w:sz w:val="22"/>
          <w:szCs w:val="22"/>
        </w:rPr>
        <w:t>, 550 U.S. a</w:t>
      </w:r>
      <w:r>
        <w:rPr>
          <w:sz w:val="22"/>
          <w:szCs w:val="22"/>
        </w:rPr>
        <w:t xml:space="preserve">t 555.  Moreover, on the face of the relevant  </w:t>
      </w:r>
      <w:proofErr w:type="spellStart"/>
      <w:r>
        <w:rPr>
          <w:sz w:val="22"/>
          <w:szCs w:val="22"/>
        </w:rPr>
        <w:t>SJVUAPDCD</w:t>
      </w:r>
      <w:proofErr w:type="spellEnd"/>
      <w:r>
        <w:rPr>
          <w:sz w:val="22"/>
          <w:szCs w:val="22"/>
        </w:rPr>
        <w:t xml:space="preserve"> Rule—and as the accompanying Staff Report makes clear—neither </w:t>
      </w:r>
      <w:proofErr w:type="spellStart"/>
      <w:r>
        <w:rPr>
          <w:sz w:val="22"/>
          <w:szCs w:val="22"/>
        </w:rPr>
        <w:t>SJVUAPCD’s</w:t>
      </w:r>
      <w:proofErr w:type="spellEnd"/>
      <w:r>
        <w:rPr>
          <w:sz w:val="22"/>
          <w:szCs w:val="22"/>
        </w:rPr>
        <w:t xml:space="preserve"> analysis nor the Rule itself extend beyond brandy and wine-aging.  </w:t>
      </w:r>
      <w:r>
        <w:rPr>
          <w:i/>
          <w:sz w:val="22"/>
          <w:szCs w:val="22"/>
        </w:rPr>
        <w:t>See</w:t>
      </w:r>
      <w:r>
        <w:rPr>
          <w:sz w:val="22"/>
          <w:szCs w:val="22"/>
        </w:rPr>
        <w:t xml:space="preserve"> </w:t>
      </w:r>
      <w:proofErr w:type="spellStart"/>
      <w:r>
        <w:rPr>
          <w:sz w:val="22"/>
          <w:szCs w:val="22"/>
        </w:rPr>
        <w:t>SJVUAPCD</w:t>
      </w:r>
      <w:proofErr w:type="spellEnd"/>
      <w:r>
        <w:rPr>
          <w:sz w:val="22"/>
          <w:szCs w:val="22"/>
        </w:rPr>
        <w:t xml:space="preserve"> Rule 4695, 2.0 (“Applicability: This rule shall apply to brandy aging and wine aging operations.”), </w:t>
      </w:r>
      <w:r>
        <w:rPr>
          <w:i/>
          <w:sz w:val="22"/>
          <w:szCs w:val="22"/>
        </w:rPr>
        <w:t>available at</w:t>
      </w:r>
      <w:r>
        <w:rPr>
          <w:sz w:val="22"/>
          <w:szCs w:val="22"/>
        </w:rPr>
        <w:t xml:space="preserve"> http://www.valleyair.org/rules/1ruleslist.htm (last accessed July 24, 2013); Final Draft Staff Report for New Draft Rule 4695, at 3 (Aug. 9, 2</w:t>
      </w:r>
      <w:r>
        <w:rPr>
          <w:sz w:val="22"/>
          <w:szCs w:val="22"/>
        </w:rPr>
        <w:t>009) (”[W]</w:t>
      </w:r>
      <w:proofErr w:type="spellStart"/>
      <w:r>
        <w:rPr>
          <w:sz w:val="22"/>
          <w:szCs w:val="22"/>
        </w:rPr>
        <w:t>hiskey</w:t>
      </w:r>
      <w:proofErr w:type="spellEnd"/>
      <w:r>
        <w:rPr>
          <w:sz w:val="22"/>
          <w:szCs w:val="22"/>
        </w:rPr>
        <w:t xml:space="preserve"> aging is not considered or included in this rule development process”) (Exhibit 14).  </w:t>
      </w:r>
    </w:p>
    <w:p w:rsidR="00487786" w:rsidRDefault="00487786">
      <w:pPr>
        <w:pStyle w:val="FootnoteText"/>
        <w:rPr>
          <w:sz w:val="22"/>
          <w:szCs w:val="22"/>
        </w:rPr>
      </w:pPr>
    </w:p>
  </w:footnote>
  <w:footnote w:id="15">
    <w:p w:rsidR="00487786" w:rsidRDefault="009C73ED">
      <w:pPr>
        <w:pStyle w:val="FootnoteText"/>
        <w:rPr>
          <w:sz w:val="22"/>
          <w:szCs w:val="22"/>
        </w:rPr>
      </w:pPr>
      <w:r>
        <w:rPr>
          <w:rStyle w:val="FootnoteReference"/>
          <w:sz w:val="22"/>
          <w:szCs w:val="22"/>
        </w:rPr>
        <w:footnoteRef/>
      </w:r>
      <w:r>
        <w:rPr>
          <w:sz w:val="22"/>
          <w:szCs w:val="22"/>
        </w:rPr>
        <w:t xml:space="preserve"> Plaintiffs’ request that this Court order Defendants to abate the alleged emissions by requiring Defendants to install an emissions control system is</w:t>
      </w:r>
      <w:r>
        <w:rPr>
          <w:sz w:val="22"/>
          <w:szCs w:val="22"/>
        </w:rPr>
        <w:t xml:space="preserve"> a claim for equitable relief that would be decided by this Court, not a jury.  </w:t>
      </w:r>
      <w:r>
        <w:rPr>
          <w:i/>
          <w:sz w:val="22"/>
          <w:szCs w:val="22"/>
        </w:rPr>
        <w:t>See University of Virgin Islands v. Petersen-Springer</w:t>
      </w:r>
      <w:r>
        <w:rPr>
          <w:sz w:val="22"/>
          <w:szCs w:val="22"/>
        </w:rPr>
        <w:t xml:space="preserve">, 232 F. Supp. </w:t>
      </w:r>
      <w:proofErr w:type="spellStart"/>
      <w:r>
        <w:rPr>
          <w:sz w:val="22"/>
          <w:szCs w:val="22"/>
        </w:rPr>
        <w:t>2d</w:t>
      </w:r>
      <w:proofErr w:type="spellEnd"/>
      <w:r>
        <w:rPr>
          <w:sz w:val="22"/>
          <w:szCs w:val="22"/>
        </w:rPr>
        <w:t xml:space="preserve"> 462 (</w:t>
      </w:r>
      <w:proofErr w:type="spellStart"/>
      <w:r>
        <w:rPr>
          <w:sz w:val="22"/>
          <w:szCs w:val="22"/>
        </w:rPr>
        <w:t>D.V.I</w:t>
      </w:r>
      <w:proofErr w:type="spellEnd"/>
      <w:r>
        <w:rPr>
          <w:sz w:val="22"/>
          <w:szCs w:val="22"/>
        </w:rPr>
        <w:t>. 2002) (citing</w:t>
      </w:r>
      <w:r>
        <w:rPr>
          <w:i/>
          <w:sz w:val="22"/>
          <w:szCs w:val="22"/>
        </w:rPr>
        <w:t xml:space="preserve"> Newfound Management Corp. v. Lewis</w:t>
      </w:r>
      <w:r>
        <w:rPr>
          <w:sz w:val="22"/>
          <w:szCs w:val="22"/>
        </w:rPr>
        <w:t xml:space="preserve">, 131 </w:t>
      </w:r>
      <w:proofErr w:type="spellStart"/>
      <w:r>
        <w:rPr>
          <w:sz w:val="22"/>
          <w:szCs w:val="22"/>
        </w:rPr>
        <w:t>F.3d</w:t>
      </w:r>
      <w:proofErr w:type="spellEnd"/>
      <w:r>
        <w:rPr>
          <w:sz w:val="22"/>
          <w:szCs w:val="22"/>
        </w:rPr>
        <w:t xml:space="preserve"> 108, 115 (</w:t>
      </w:r>
      <w:proofErr w:type="spellStart"/>
      <w:r>
        <w:rPr>
          <w:sz w:val="22"/>
          <w:szCs w:val="22"/>
        </w:rPr>
        <w:t>3d</w:t>
      </w:r>
      <w:proofErr w:type="spellEnd"/>
      <w:r>
        <w:rPr>
          <w:sz w:val="22"/>
          <w:szCs w:val="22"/>
        </w:rPr>
        <w:t xml:space="preserve"> Cir.</w:t>
      </w:r>
      <w:bookmarkStart w:id="123" w:name="_MD_Rev21"/>
      <w:r>
        <w:rPr>
          <w:sz w:val="22"/>
          <w:szCs w:val="22"/>
        </w:rPr>
        <w:t xml:space="preserve"> </w:t>
      </w:r>
      <w:bookmarkEnd w:id="123"/>
      <w:r>
        <w:rPr>
          <w:sz w:val="22"/>
          <w:szCs w:val="22"/>
        </w:rPr>
        <w:t>1997) (“Although</w:t>
      </w:r>
      <w:r>
        <w:rPr>
          <w:sz w:val="22"/>
          <w:szCs w:val="22"/>
        </w:rPr>
        <w:t xml:space="preserve"> actions at law entitle a party to a jury trial, cases in equity do not.”)).</w:t>
      </w:r>
      <w:r>
        <w:rPr>
          <w:sz w:val="22"/>
          <w:szCs w:val="22"/>
          <w:highlight w:val="yellow"/>
        </w:rPr>
        <w:t xml:space="preserve"> </w:t>
      </w:r>
    </w:p>
  </w:footnote>
  <w:footnote w:id="16">
    <w:p w:rsidR="00487786" w:rsidRDefault="009C73ED">
      <w:pPr>
        <w:pStyle w:val="FootnoteText"/>
        <w:rPr>
          <w:sz w:val="22"/>
          <w:szCs w:val="22"/>
        </w:rPr>
      </w:pPr>
      <w:r>
        <w:rPr>
          <w:rStyle w:val="FootnoteReference"/>
          <w:sz w:val="22"/>
          <w:szCs w:val="22"/>
        </w:rPr>
        <w:footnoteRef/>
      </w:r>
      <w:r>
        <w:rPr>
          <w:sz w:val="22"/>
          <w:szCs w:val="22"/>
        </w:rPr>
        <w:t xml:space="preserve"> Plaintiffs also appear to assert a claim for negligence </w:t>
      </w:r>
      <w:r>
        <w:rPr>
          <w:i/>
          <w:sz w:val="22"/>
          <w:szCs w:val="22"/>
        </w:rPr>
        <w:t>per se</w:t>
      </w:r>
      <w:r>
        <w:rPr>
          <w:sz w:val="22"/>
          <w:szCs w:val="22"/>
        </w:rPr>
        <w:t xml:space="preserve"> based on the alleged violation of the civil and criminal statutes regarding private and public nuisances, 28 </w:t>
      </w:r>
      <w:proofErr w:type="spellStart"/>
      <w:r>
        <w:rPr>
          <w:sz w:val="22"/>
          <w:szCs w:val="22"/>
        </w:rPr>
        <w:t>V.I.</w:t>
      </w:r>
      <w:r>
        <w:rPr>
          <w:sz w:val="22"/>
          <w:szCs w:val="22"/>
        </w:rPr>
        <w:t>C</w:t>
      </w:r>
      <w:proofErr w:type="spellEnd"/>
      <w:r>
        <w:rPr>
          <w:sz w:val="22"/>
          <w:szCs w:val="22"/>
        </w:rPr>
        <w:t xml:space="preserve"> § 331 and 14 </w:t>
      </w:r>
      <w:proofErr w:type="spellStart"/>
      <w:r>
        <w:rPr>
          <w:sz w:val="22"/>
          <w:szCs w:val="22"/>
        </w:rPr>
        <w:t>V.I.C</w:t>
      </w:r>
      <w:proofErr w:type="spellEnd"/>
      <w:r>
        <w:rPr>
          <w:sz w:val="22"/>
          <w:szCs w:val="22"/>
        </w:rPr>
        <w:t xml:space="preserve">. §§ 1461-1462.  </w:t>
      </w:r>
      <w:r>
        <w:rPr>
          <w:i/>
          <w:sz w:val="22"/>
          <w:szCs w:val="22"/>
        </w:rPr>
        <w:t xml:space="preserve">See </w:t>
      </w:r>
      <w:proofErr w:type="spellStart"/>
      <w:r>
        <w:rPr>
          <w:sz w:val="22"/>
          <w:szCs w:val="22"/>
        </w:rPr>
        <w:t>Compl</w:t>
      </w:r>
      <w:proofErr w:type="spellEnd"/>
      <w:r>
        <w:rPr>
          <w:sz w:val="22"/>
          <w:szCs w:val="22"/>
        </w:rPr>
        <w:t xml:space="preserve">. ¶ 71.  But these statutes are irrelevant to the negligence claim.  These statutes are not designed to protect against a particular type of conduct or a certain class of individuals.  </w:t>
      </w:r>
      <w:r>
        <w:rPr>
          <w:i/>
          <w:sz w:val="22"/>
          <w:szCs w:val="22"/>
        </w:rPr>
        <w:t>See Restatement Third</w:t>
      </w:r>
      <w:r>
        <w:rPr>
          <w:sz w:val="22"/>
          <w:szCs w:val="22"/>
        </w:rPr>
        <w:t xml:space="preserve"> §14</w:t>
      </w:r>
      <w:r>
        <w:rPr>
          <w:sz w:val="22"/>
          <w:szCs w:val="22"/>
        </w:rPr>
        <w:t xml:space="preserve"> (negligence </w:t>
      </w:r>
      <w:r>
        <w:rPr>
          <w:i/>
          <w:sz w:val="22"/>
          <w:szCs w:val="22"/>
        </w:rPr>
        <w:t>per se</w:t>
      </w:r>
      <w:r>
        <w:rPr>
          <w:sz w:val="22"/>
          <w:szCs w:val="22"/>
        </w:rPr>
        <w:t xml:space="preserve"> only applies where the statute at issue “is designed to protect against the type of accident the actor’s conduct causes, and if the accident victim is within the class of person the statute is designed to protect”).  Nor do they provide</w:t>
      </w:r>
      <w:r>
        <w:rPr>
          <w:sz w:val="22"/>
          <w:szCs w:val="22"/>
        </w:rPr>
        <w:t xml:space="preserve"> any sort of standard or structure that would aid the negligence determination.  </w:t>
      </w:r>
      <w:r>
        <w:rPr>
          <w:i/>
          <w:sz w:val="22"/>
          <w:szCs w:val="22"/>
        </w:rPr>
        <w:t>See</w:t>
      </w:r>
      <w:r>
        <w:rPr>
          <w:sz w:val="22"/>
          <w:szCs w:val="22"/>
        </w:rPr>
        <w:t xml:space="preserve"> </w:t>
      </w:r>
      <w:r>
        <w:rPr>
          <w:i/>
          <w:sz w:val="22"/>
          <w:szCs w:val="22"/>
        </w:rPr>
        <w:t xml:space="preserve">id. </w:t>
      </w:r>
      <w:r>
        <w:rPr>
          <w:sz w:val="22"/>
          <w:szCs w:val="22"/>
        </w:rPr>
        <w:t xml:space="preserve">§14 </w:t>
      </w:r>
      <w:proofErr w:type="spellStart"/>
      <w:r>
        <w:rPr>
          <w:sz w:val="22"/>
          <w:szCs w:val="22"/>
        </w:rPr>
        <w:t>cmt</w:t>
      </w:r>
      <w:proofErr w:type="spellEnd"/>
      <w:r>
        <w:rPr>
          <w:sz w:val="22"/>
          <w:szCs w:val="22"/>
        </w:rPr>
        <w:t>. f (with respect to “[s]</w:t>
      </w:r>
      <w:proofErr w:type="spellStart"/>
      <w:r>
        <w:rPr>
          <w:sz w:val="22"/>
          <w:szCs w:val="22"/>
        </w:rPr>
        <w:t>tatutes</w:t>
      </w:r>
      <w:proofErr w:type="spellEnd"/>
      <w:r>
        <w:rPr>
          <w:sz w:val="22"/>
          <w:szCs w:val="22"/>
        </w:rPr>
        <w:t xml:space="preserve"> that duplicate the common law” that courts “more frequently . . . reject negligence </w:t>
      </w:r>
      <w:r>
        <w:rPr>
          <w:i/>
          <w:sz w:val="22"/>
          <w:szCs w:val="22"/>
        </w:rPr>
        <w:t>per se</w:t>
      </w:r>
      <w:r>
        <w:rPr>
          <w:sz w:val="22"/>
          <w:szCs w:val="22"/>
        </w:rPr>
        <w:t>, recognizing its redundancy and appr</w:t>
      </w:r>
      <w:r>
        <w:rPr>
          <w:sz w:val="22"/>
          <w:szCs w:val="22"/>
        </w:rPr>
        <w:t xml:space="preserve">eciating that it does not serve its typical function of simplifying or providing structure to the rendering of negligence determinations”).  To the extent that Plaintiffs claim negligence </w:t>
      </w:r>
      <w:r>
        <w:rPr>
          <w:i/>
          <w:sz w:val="22"/>
          <w:szCs w:val="22"/>
        </w:rPr>
        <w:t>per se</w:t>
      </w:r>
      <w:r>
        <w:rPr>
          <w:sz w:val="22"/>
          <w:szCs w:val="22"/>
        </w:rPr>
        <w:t>, that claim should be rejected.</w:t>
      </w:r>
    </w:p>
    <w:p w:rsidR="00487786" w:rsidRDefault="00487786">
      <w:pPr>
        <w:pStyle w:val="FootnoteText"/>
        <w:rPr>
          <w:sz w:val="22"/>
          <w:szCs w:val="22"/>
        </w:rPr>
      </w:pPr>
    </w:p>
  </w:footnote>
  <w:footnote w:id="17">
    <w:p w:rsidR="00487786" w:rsidRDefault="009C73ED">
      <w:pPr>
        <w:pStyle w:val="FootnoteText"/>
        <w:rPr>
          <w:sz w:val="22"/>
          <w:szCs w:val="22"/>
        </w:rPr>
      </w:pPr>
      <w:r>
        <w:rPr>
          <w:rStyle w:val="FootnoteReference"/>
          <w:sz w:val="22"/>
          <w:szCs w:val="22"/>
        </w:rPr>
        <w:footnoteRef/>
      </w:r>
      <w:r>
        <w:rPr>
          <w:sz w:val="22"/>
          <w:szCs w:val="22"/>
        </w:rPr>
        <w:t xml:space="preserve"> Judge Gomez admonished in </w:t>
      </w:r>
      <w:r>
        <w:rPr>
          <w:i/>
          <w:sz w:val="22"/>
          <w:szCs w:val="22"/>
        </w:rPr>
        <w:t xml:space="preserve">Watts, </w:t>
      </w:r>
      <w:r>
        <w:rPr>
          <w:sz w:val="22"/>
          <w:szCs w:val="22"/>
        </w:rPr>
        <w:t>2012 WL 1080323, at *1, that, in ruling on a Rule 12(b)(6) motion, “the court should identify allegations that, ‘because they are no more than conclusions, are not entitled to the assumption of truth’ . . . .”   This admonition is particularly appli</w:t>
      </w:r>
      <w:r>
        <w:rPr>
          <w:sz w:val="22"/>
          <w:szCs w:val="22"/>
        </w:rPr>
        <w:t xml:space="preserve">cable to Count II, which rests on numerous </w:t>
      </w:r>
      <w:proofErr w:type="spellStart"/>
      <w:r>
        <w:rPr>
          <w:sz w:val="22"/>
          <w:szCs w:val="22"/>
        </w:rPr>
        <w:t>conclusory</w:t>
      </w:r>
      <w:proofErr w:type="spellEnd"/>
      <w:r>
        <w:rPr>
          <w:sz w:val="22"/>
          <w:szCs w:val="22"/>
        </w:rPr>
        <w:t xml:space="preserve"> statements, without specific facts to support those conclusions. </w:t>
      </w:r>
    </w:p>
    <w:p w:rsidR="00487786" w:rsidRDefault="009C73ED">
      <w:pPr>
        <w:pStyle w:val="FootnoteText"/>
        <w:rPr>
          <w:sz w:val="22"/>
          <w:szCs w:val="22"/>
        </w:rPr>
      </w:pPr>
      <w:r>
        <w:rPr>
          <w:sz w:val="22"/>
          <w:szCs w:val="22"/>
        </w:rPr>
        <w:t xml:space="preserve"> </w:t>
      </w:r>
    </w:p>
  </w:footnote>
  <w:footnote w:id="18">
    <w:p w:rsidR="00487786" w:rsidRDefault="009C73ED">
      <w:pPr>
        <w:pStyle w:val="FootnoteText"/>
        <w:rPr>
          <w:sz w:val="22"/>
          <w:szCs w:val="22"/>
        </w:rPr>
      </w:pPr>
      <w:r>
        <w:rPr>
          <w:rStyle w:val="FootnoteReference"/>
          <w:sz w:val="22"/>
          <w:szCs w:val="22"/>
        </w:rPr>
        <w:footnoteRef/>
      </w:r>
      <w:r>
        <w:rPr>
          <w:sz w:val="22"/>
          <w:szCs w:val="22"/>
        </w:rPr>
        <w:t xml:space="preserve"> </w:t>
      </w:r>
      <w:r>
        <w:rPr>
          <w:i/>
          <w:sz w:val="22"/>
          <w:szCs w:val="22"/>
        </w:rPr>
        <w:t xml:space="preserve">See supra </w:t>
      </w:r>
      <w:r>
        <w:rPr>
          <w:sz w:val="22"/>
          <w:szCs w:val="22"/>
        </w:rPr>
        <w:t>n. 6, and accompanying text.</w:t>
      </w:r>
    </w:p>
  </w:footnote>
  <w:footnote w:id="19">
    <w:p w:rsidR="00487786" w:rsidRDefault="009C73ED">
      <w:pPr>
        <w:pStyle w:val="FootnoteText"/>
        <w:rPr>
          <w:sz w:val="22"/>
          <w:szCs w:val="22"/>
        </w:rPr>
      </w:pPr>
      <w:r>
        <w:rPr>
          <w:rStyle w:val="FootnoteReference"/>
          <w:sz w:val="22"/>
          <w:szCs w:val="22"/>
        </w:rPr>
        <w:footnoteRef/>
      </w:r>
      <w:r>
        <w:rPr>
          <w:sz w:val="22"/>
          <w:szCs w:val="22"/>
        </w:rPr>
        <w:t xml:space="preserve"> </w:t>
      </w:r>
      <w:r>
        <w:rPr>
          <w:i/>
          <w:sz w:val="22"/>
          <w:szCs w:val="22"/>
        </w:rPr>
        <w:t xml:space="preserve">See, e.g., Johnson v. Paynesville Farmers Union Cooperative Oil Co., </w:t>
      </w:r>
      <w:r>
        <w:rPr>
          <w:sz w:val="22"/>
          <w:szCs w:val="22"/>
        </w:rPr>
        <w:t xml:space="preserve">817 </w:t>
      </w:r>
      <w:proofErr w:type="spellStart"/>
      <w:r>
        <w:rPr>
          <w:sz w:val="22"/>
          <w:szCs w:val="22"/>
        </w:rPr>
        <w:t>N.W.2d</w:t>
      </w:r>
      <w:proofErr w:type="spellEnd"/>
      <w:r>
        <w:rPr>
          <w:sz w:val="22"/>
          <w:szCs w:val="22"/>
        </w:rPr>
        <w:t xml:space="preserve"> 693, 701 (M</w:t>
      </w:r>
      <w:r>
        <w:rPr>
          <w:sz w:val="22"/>
          <w:szCs w:val="22"/>
        </w:rPr>
        <w:t>inn. 2012)</w:t>
      </w:r>
      <w:r>
        <w:rPr>
          <w:i/>
          <w:sz w:val="22"/>
          <w:szCs w:val="22"/>
        </w:rPr>
        <w:t xml:space="preserve"> </w:t>
      </w:r>
      <w:r>
        <w:rPr>
          <w:sz w:val="22"/>
          <w:szCs w:val="22"/>
        </w:rPr>
        <w:t xml:space="preserve">(“Our case law is consistent with this traditional formulation of trespass because we have recognized that a trespass can occur when a person or tangible object enters the plaintiff's land.”); </w:t>
      </w:r>
      <w:r>
        <w:rPr>
          <w:i/>
          <w:sz w:val="22"/>
          <w:szCs w:val="22"/>
        </w:rPr>
        <w:t xml:space="preserve">City of Bristol v. </w:t>
      </w:r>
      <w:proofErr w:type="spellStart"/>
      <w:r>
        <w:rPr>
          <w:i/>
          <w:sz w:val="22"/>
          <w:szCs w:val="22"/>
        </w:rPr>
        <w:t>Tilcon</w:t>
      </w:r>
      <w:proofErr w:type="spellEnd"/>
      <w:r>
        <w:rPr>
          <w:i/>
          <w:sz w:val="22"/>
          <w:szCs w:val="22"/>
        </w:rPr>
        <w:t xml:space="preserve"> Minerals, Inc.</w:t>
      </w:r>
      <w:r>
        <w:rPr>
          <w:sz w:val="22"/>
          <w:szCs w:val="22"/>
        </w:rPr>
        <w:t xml:space="preserve">, 931 </w:t>
      </w:r>
      <w:proofErr w:type="spellStart"/>
      <w:r>
        <w:rPr>
          <w:sz w:val="22"/>
          <w:szCs w:val="22"/>
        </w:rPr>
        <w:t>A.2d</w:t>
      </w:r>
      <w:proofErr w:type="spellEnd"/>
      <w:r>
        <w:rPr>
          <w:sz w:val="22"/>
          <w:szCs w:val="22"/>
        </w:rPr>
        <w:t xml:space="preserve"> 2</w:t>
      </w:r>
      <w:r>
        <w:rPr>
          <w:sz w:val="22"/>
          <w:szCs w:val="22"/>
        </w:rPr>
        <w:t>37, 258 (Conn. 2007) (“[B]</w:t>
      </w:r>
      <w:proofErr w:type="spellStart"/>
      <w:r>
        <w:rPr>
          <w:sz w:val="22"/>
          <w:szCs w:val="22"/>
        </w:rPr>
        <w:t>ecause</w:t>
      </w:r>
      <w:proofErr w:type="spellEnd"/>
      <w:r>
        <w:rPr>
          <w:sz w:val="22"/>
          <w:szCs w:val="22"/>
        </w:rPr>
        <w:t xml:space="preserve"> it is the right of the owner in possession to exclusive possession that is protected by an action for trespass, it is generally held that the intrusion of the property be physical and accomplished by tangible matter.”); </w:t>
      </w:r>
      <w:r>
        <w:rPr>
          <w:i/>
          <w:sz w:val="22"/>
          <w:szCs w:val="22"/>
        </w:rPr>
        <w:t>Bor</w:t>
      </w:r>
      <w:r>
        <w:rPr>
          <w:i/>
          <w:sz w:val="22"/>
          <w:szCs w:val="22"/>
        </w:rPr>
        <w:t>mann</w:t>
      </w:r>
      <w:r>
        <w:rPr>
          <w:sz w:val="22"/>
          <w:szCs w:val="22"/>
        </w:rPr>
        <w:t xml:space="preserve">, 584 </w:t>
      </w:r>
      <w:proofErr w:type="spellStart"/>
      <w:r>
        <w:rPr>
          <w:sz w:val="22"/>
          <w:szCs w:val="22"/>
        </w:rPr>
        <w:t>N.W.2d</w:t>
      </w:r>
      <w:proofErr w:type="spellEnd"/>
      <w:r>
        <w:rPr>
          <w:sz w:val="22"/>
          <w:szCs w:val="22"/>
        </w:rPr>
        <w:t xml:space="preserve"> at 315 (“Trespass comprehends an actual physical invasion by a tangible matter.” (quoting </w:t>
      </w:r>
      <w:r>
        <w:rPr>
          <w:i/>
          <w:sz w:val="22"/>
          <w:szCs w:val="22"/>
        </w:rPr>
        <w:t>Ryan v. City of Emmetsburg</w:t>
      </w:r>
      <w:r>
        <w:rPr>
          <w:sz w:val="22"/>
          <w:szCs w:val="22"/>
        </w:rPr>
        <w:t xml:space="preserve">, 4 N.W. </w:t>
      </w:r>
      <w:proofErr w:type="spellStart"/>
      <w:r>
        <w:rPr>
          <w:sz w:val="22"/>
          <w:szCs w:val="22"/>
        </w:rPr>
        <w:t>2d</w:t>
      </w:r>
      <w:proofErr w:type="spellEnd"/>
      <w:r>
        <w:rPr>
          <w:sz w:val="22"/>
          <w:szCs w:val="22"/>
        </w:rPr>
        <w:t xml:space="preserve"> 435, 438 (Iowa 1942))); </w:t>
      </w:r>
      <w:r>
        <w:rPr>
          <w:rFonts w:eastAsiaTheme="minorEastAsia"/>
          <w:i/>
          <w:sz w:val="22"/>
          <w:szCs w:val="22"/>
        </w:rPr>
        <w:t>Adams v. Cleveland-Cliffs Iron Co.</w:t>
      </w:r>
      <w:r>
        <w:rPr>
          <w:rFonts w:eastAsiaTheme="minorEastAsia"/>
          <w:sz w:val="22"/>
          <w:szCs w:val="22"/>
        </w:rPr>
        <w:t xml:space="preserve">, 602 </w:t>
      </w:r>
      <w:proofErr w:type="spellStart"/>
      <w:r>
        <w:rPr>
          <w:rFonts w:eastAsiaTheme="minorEastAsia"/>
          <w:sz w:val="22"/>
          <w:szCs w:val="22"/>
        </w:rPr>
        <w:t>N.W.2d</w:t>
      </w:r>
      <w:proofErr w:type="spellEnd"/>
      <w:r>
        <w:rPr>
          <w:rFonts w:eastAsiaTheme="minorEastAsia"/>
          <w:sz w:val="22"/>
          <w:szCs w:val="22"/>
        </w:rPr>
        <w:t xml:space="preserve"> 215, 222 (Mich. App. 1999) (“[W]e prefer</w:t>
      </w:r>
      <w:r>
        <w:rPr>
          <w:rFonts w:eastAsiaTheme="minorEastAsia"/>
          <w:sz w:val="22"/>
          <w:szCs w:val="22"/>
        </w:rPr>
        <w:t xml:space="preserve"> to respect the traditional requirement of a direct invasion and agree with Prosser and Keeton, supra at § 13, p. 72, that ‘[t]he historical requirement of an intrusion by a person or some tangible thing seems the sounder way to go about protecting the exc</w:t>
      </w:r>
      <w:r>
        <w:rPr>
          <w:rFonts w:eastAsiaTheme="minorEastAsia"/>
          <w:sz w:val="22"/>
          <w:szCs w:val="22"/>
        </w:rPr>
        <w:t>lusive right to the use of property.’  Recovery for trespass . . . is available only upon proof of an unauthorized direct or immediate intrusion of a physical, tangible object onto land over which the plaintiff has a right of exclusive possession.”).</w:t>
      </w:r>
    </w:p>
  </w:footnote>
  <w:footnote w:id="20">
    <w:p w:rsidR="00487786" w:rsidRDefault="009C73ED">
      <w:pPr>
        <w:pStyle w:val="FootnoteText"/>
        <w:rPr>
          <w:sz w:val="22"/>
          <w:szCs w:val="22"/>
        </w:rPr>
      </w:pPr>
      <w:r>
        <w:rPr>
          <w:rStyle w:val="FootnoteReference"/>
          <w:sz w:val="22"/>
          <w:szCs w:val="22"/>
        </w:rPr>
        <w:footnoteRef/>
      </w:r>
      <w:r>
        <w:rPr>
          <w:sz w:val="22"/>
          <w:szCs w:val="22"/>
        </w:rPr>
        <w:t xml:space="preserve"> By </w:t>
      </w:r>
      <w:r>
        <w:rPr>
          <w:sz w:val="22"/>
          <w:szCs w:val="22"/>
        </w:rPr>
        <w:t xml:space="preserve">analogy, courts applying Virgin Islands law routinely strike separate counts that seek punitive damages, which also is merely a remedy.  </w:t>
      </w:r>
      <w:r>
        <w:rPr>
          <w:i/>
          <w:sz w:val="22"/>
          <w:szCs w:val="22"/>
        </w:rPr>
        <w:t xml:space="preserve">See, e.g., </w:t>
      </w:r>
      <w:r>
        <w:rPr>
          <w:i/>
          <w:iCs/>
          <w:sz w:val="22"/>
          <w:szCs w:val="22"/>
        </w:rPr>
        <w:t xml:space="preserve">Abraham v. St. Croix Renaissance </w:t>
      </w:r>
      <w:proofErr w:type="spellStart"/>
      <w:r>
        <w:rPr>
          <w:i/>
          <w:iCs/>
          <w:sz w:val="22"/>
          <w:szCs w:val="22"/>
        </w:rPr>
        <w:t>Grp</w:t>
      </w:r>
      <w:proofErr w:type="spellEnd"/>
      <w:r>
        <w:rPr>
          <w:i/>
          <w:iCs/>
          <w:sz w:val="22"/>
          <w:szCs w:val="22"/>
        </w:rPr>
        <w:t xml:space="preserve">., </w:t>
      </w:r>
      <w:proofErr w:type="spellStart"/>
      <w:r>
        <w:rPr>
          <w:i/>
          <w:iCs/>
          <w:sz w:val="22"/>
          <w:szCs w:val="22"/>
        </w:rPr>
        <w:t>L.L.L.P</w:t>
      </w:r>
      <w:proofErr w:type="spellEnd"/>
      <w:r>
        <w:rPr>
          <w:sz w:val="22"/>
          <w:szCs w:val="22"/>
        </w:rPr>
        <w:t xml:space="preserve">, Civ. No. 2008-071, 2013 WL 2128539, at *2 </w:t>
      </w:r>
      <w:proofErr w:type="spellStart"/>
      <w:r>
        <w:rPr>
          <w:sz w:val="22"/>
          <w:szCs w:val="22"/>
        </w:rPr>
        <w:t>n.3</w:t>
      </w:r>
      <w:proofErr w:type="spellEnd"/>
      <w:r>
        <w:rPr>
          <w:sz w:val="22"/>
          <w:szCs w:val="22"/>
        </w:rPr>
        <w:t xml:space="preserve"> (</w:t>
      </w:r>
      <w:proofErr w:type="spellStart"/>
      <w:r>
        <w:rPr>
          <w:sz w:val="22"/>
          <w:szCs w:val="22"/>
        </w:rPr>
        <w:t>3d</w:t>
      </w:r>
      <w:proofErr w:type="spellEnd"/>
      <w:r>
        <w:rPr>
          <w:sz w:val="22"/>
          <w:szCs w:val="22"/>
        </w:rPr>
        <w:t xml:space="preserve"> Cir. May 1</w:t>
      </w:r>
      <w:r>
        <w:rPr>
          <w:sz w:val="22"/>
          <w:szCs w:val="22"/>
        </w:rPr>
        <w:t xml:space="preserve">7, 2013) (a count denominated “Punitive Damages” is not a freestanding cause of action); </w:t>
      </w:r>
      <w:r>
        <w:rPr>
          <w:i/>
          <w:iCs/>
          <w:sz w:val="22"/>
          <w:szCs w:val="22"/>
        </w:rPr>
        <w:t>Galloway v. Islands Mech. Contractor, Inc.</w:t>
      </w:r>
      <w:r>
        <w:rPr>
          <w:sz w:val="22"/>
          <w:szCs w:val="22"/>
        </w:rPr>
        <w:t>, Civ. No. 08-cv-71, 2013 WL 163811, at *1 (</w:t>
      </w:r>
      <w:proofErr w:type="spellStart"/>
      <w:r>
        <w:rPr>
          <w:sz w:val="22"/>
          <w:szCs w:val="22"/>
        </w:rPr>
        <w:t>D.V.I</w:t>
      </w:r>
      <w:proofErr w:type="spellEnd"/>
      <w:r>
        <w:rPr>
          <w:sz w:val="22"/>
          <w:szCs w:val="22"/>
        </w:rPr>
        <w:t>. Jan. 14, 2013) (punitive damages is a remedy, not a cause of action).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786" w:rsidRDefault="00487786">
    <w:pPr>
      <w:pStyle w:val="Header"/>
    </w:pPr>
  </w:p>
  <w:p w:rsidR="00487786" w:rsidRDefault="00487786"/>
  <w:p w:rsidR="00487786" w:rsidRDefault="0048778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786" w:rsidRDefault="009C73ED">
    <w:pPr>
      <w:pStyle w:val="Header"/>
      <w:rPr>
        <w:sz w:val="20"/>
        <w:szCs w:val="20"/>
      </w:rPr>
    </w:pPr>
    <w:r>
      <w:rPr>
        <w:sz w:val="20"/>
        <w:szCs w:val="20"/>
      </w:rPr>
      <w:t>Memorandum in Sup</w:t>
    </w:r>
    <w:r>
      <w:rPr>
        <w:sz w:val="20"/>
        <w:szCs w:val="20"/>
      </w:rPr>
      <w:t>port of Motion to Dismiss</w:t>
    </w:r>
  </w:p>
  <w:p w:rsidR="00487786" w:rsidRDefault="009C73ED">
    <w:pPr>
      <w:pStyle w:val="Header"/>
      <w:rPr>
        <w:sz w:val="20"/>
        <w:szCs w:val="20"/>
      </w:rPr>
    </w:pPr>
    <w:r>
      <w:rPr>
        <w:sz w:val="20"/>
        <w:szCs w:val="20"/>
      </w:rPr>
      <w:t xml:space="preserve">Page </w:t>
    </w:r>
    <w:r>
      <w:rPr>
        <w:sz w:val="20"/>
        <w:szCs w:val="20"/>
      </w:rPr>
      <w:fldChar w:fldCharType="begin"/>
    </w:r>
    <w:r>
      <w:rPr>
        <w:sz w:val="20"/>
        <w:szCs w:val="20"/>
      </w:rPr>
      <w:instrText xml:space="preserve"> PAGE   \* MERGEFORMAT </w:instrText>
    </w:r>
    <w:r>
      <w:rPr>
        <w:sz w:val="20"/>
        <w:szCs w:val="20"/>
      </w:rPr>
      <w:fldChar w:fldCharType="separate"/>
    </w:r>
    <w:r w:rsidR="006918C6">
      <w:rPr>
        <w:noProof/>
        <w:sz w:val="20"/>
        <w:szCs w:val="20"/>
      </w:rPr>
      <w:t>18</w:t>
    </w:r>
    <w:r>
      <w:rPr>
        <w:noProof/>
        <w:sz w:val="20"/>
        <w:szCs w:val="20"/>
      </w:rPr>
      <w:fldChar w:fldCharType="end"/>
    </w:r>
  </w:p>
  <w:p w:rsidR="00487786" w:rsidRDefault="00487786">
    <w:pPr>
      <w:pStyle w:val="Header"/>
    </w:pPr>
  </w:p>
  <w:p w:rsidR="00487786" w:rsidRDefault="00487786"/>
  <w:p w:rsidR="00487786" w:rsidRDefault="004877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A4540"/>
    <w:multiLevelType w:val="hybridMultilevel"/>
    <w:tmpl w:val="B8226450"/>
    <w:lvl w:ilvl="0" w:tplc="0409000F">
      <w:start w:val="7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8071F"/>
    <w:multiLevelType w:val="hybridMultilevel"/>
    <w:tmpl w:val="011A93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4136A"/>
    <w:multiLevelType w:val="hybridMultilevel"/>
    <w:tmpl w:val="1A7E9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373866"/>
    <w:multiLevelType w:val="hybridMultilevel"/>
    <w:tmpl w:val="F67E0AD2"/>
    <w:lvl w:ilvl="0" w:tplc="9E06E238">
      <w:start w:val="7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E95D07"/>
    <w:multiLevelType w:val="hybridMultilevel"/>
    <w:tmpl w:val="3286CCD6"/>
    <w:lvl w:ilvl="0" w:tplc="F120E6D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B10145"/>
    <w:multiLevelType w:val="hybridMultilevel"/>
    <w:tmpl w:val="2B3881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4F8A1AB0"/>
    <w:multiLevelType w:val="hybridMultilevel"/>
    <w:tmpl w:val="6756AE2A"/>
    <w:lvl w:ilvl="0" w:tplc="3A486EBA">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3C2BD1"/>
    <w:multiLevelType w:val="hybridMultilevel"/>
    <w:tmpl w:val="A844C64C"/>
    <w:lvl w:ilvl="0" w:tplc="F3B28E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C6F6B44"/>
    <w:multiLevelType w:val="hybridMultilevel"/>
    <w:tmpl w:val="011A93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C55237"/>
    <w:multiLevelType w:val="hybridMultilevel"/>
    <w:tmpl w:val="911C75B0"/>
    <w:lvl w:ilvl="0" w:tplc="607CEA9E">
      <w:start w:val="1"/>
      <w:numFmt w:val="decimal"/>
      <w:pStyle w:val="Style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291E3C"/>
    <w:multiLevelType w:val="hybridMultilevel"/>
    <w:tmpl w:val="1A7E9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6208C4"/>
    <w:multiLevelType w:val="hybridMultilevel"/>
    <w:tmpl w:val="0E82082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
    <w:nsid w:val="7FE427DD"/>
    <w:multiLevelType w:val="hybridMultilevel"/>
    <w:tmpl w:val="01742622"/>
    <w:lvl w:ilvl="0" w:tplc="ABC0620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8"/>
  </w:num>
  <w:num w:numId="4">
    <w:abstractNumId w:val="5"/>
  </w:num>
  <w:num w:numId="5">
    <w:abstractNumId w:val="3"/>
  </w:num>
  <w:num w:numId="6">
    <w:abstractNumId w:val="7"/>
  </w:num>
  <w:num w:numId="7">
    <w:abstractNumId w:val="1"/>
  </w:num>
  <w:num w:numId="8">
    <w:abstractNumId w:val="2"/>
  </w:num>
  <w:num w:numId="9">
    <w:abstractNumId w:val="0"/>
  </w:num>
  <w:num w:numId="10">
    <w:abstractNumId w:val="2"/>
    <w:lvlOverride w:ilvl="0">
      <w:lvl w:ilvl="0" w:tplc="0409000F">
        <w:start w:val="1"/>
        <w:numFmt w:val="decimal"/>
        <w:lvlText w:val="%1."/>
        <w:lvlJc w:val="left"/>
        <w:pPr>
          <w:ind w:left="720" w:hanging="360"/>
        </w:pPr>
        <w:rPr>
          <w:strike w:val="0"/>
          <w:dstrike w:val="0"/>
          <w:color w:val="0000FF"/>
          <w:u w:val="double"/>
        </w:rPr>
      </w:lvl>
    </w:lvlOverride>
    <w:lvlOverride w:ilvl="1">
      <w:lvl w:ilvl="1" w:tplc="04090019">
        <w:start w:val="1"/>
        <w:numFmt w:val="lowerLetter"/>
        <w:lvlText w:val="%2."/>
        <w:lvlJc w:val="left"/>
        <w:pPr>
          <w:ind w:left="1440" w:hanging="360"/>
        </w:pPr>
        <w:rPr>
          <w:strike w:val="0"/>
          <w:dstrike w:val="0"/>
        </w:rPr>
      </w:lvl>
    </w:lvlOverride>
    <w:lvlOverride w:ilvl="2">
      <w:lvl w:ilvl="2" w:tplc="0409001B">
        <w:start w:val="1"/>
        <w:numFmt w:val="lowerRoman"/>
        <w:lvlText w:val="%3."/>
        <w:lvlJc w:val="right"/>
        <w:pPr>
          <w:ind w:left="2160" w:hanging="180"/>
        </w:pPr>
        <w:rPr>
          <w:strike w:val="0"/>
          <w:dstrike w:val="0"/>
        </w:rPr>
      </w:lvl>
    </w:lvlOverride>
    <w:lvlOverride w:ilvl="3">
      <w:lvl w:ilvl="3" w:tplc="0409000F">
        <w:start w:val="1"/>
        <w:numFmt w:val="decimal"/>
        <w:lvlText w:val="%4."/>
        <w:lvlJc w:val="left"/>
        <w:pPr>
          <w:ind w:left="2880" w:hanging="360"/>
        </w:pPr>
        <w:rPr>
          <w:strike w:val="0"/>
          <w:dstrike w:val="0"/>
        </w:rPr>
      </w:lvl>
    </w:lvlOverride>
    <w:lvlOverride w:ilvl="4">
      <w:lvl w:ilvl="4" w:tplc="04090019">
        <w:start w:val="1"/>
        <w:numFmt w:val="lowerLetter"/>
        <w:lvlText w:val="%5."/>
        <w:lvlJc w:val="left"/>
        <w:pPr>
          <w:ind w:left="3600" w:hanging="360"/>
        </w:pPr>
        <w:rPr>
          <w:strike w:val="0"/>
          <w:dstrike w:val="0"/>
        </w:rPr>
      </w:lvl>
    </w:lvlOverride>
    <w:lvlOverride w:ilvl="5">
      <w:lvl w:ilvl="5" w:tplc="0409001B">
        <w:start w:val="1"/>
        <w:numFmt w:val="lowerRoman"/>
        <w:lvlText w:val="%6."/>
        <w:lvlJc w:val="right"/>
        <w:pPr>
          <w:ind w:left="4320" w:hanging="180"/>
        </w:pPr>
        <w:rPr>
          <w:strike w:val="0"/>
          <w:dstrike w:val="0"/>
        </w:rPr>
      </w:lvl>
    </w:lvlOverride>
    <w:lvlOverride w:ilvl="6">
      <w:lvl w:ilvl="6" w:tplc="0409000F">
        <w:start w:val="1"/>
        <w:numFmt w:val="decimal"/>
        <w:lvlText w:val="%7."/>
        <w:lvlJc w:val="left"/>
        <w:pPr>
          <w:ind w:left="5040" w:hanging="360"/>
        </w:pPr>
        <w:rPr>
          <w:strike w:val="0"/>
          <w:dstrike w:val="0"/>
        </w:rPr>
      </w:lvl>
    </w:lvlOverride>
    <w:lvlOverride w:ilvl="7">
      <w:lvl w:ilvl="7" w:tplc="04090019">
        <w:start w:val="1"/>
        <w:numFmt w:val="lowerLetter"/>
        <w:lvlText w:val="%8."/>
        <w:lvlJc w:val="left"/>
        <w:pPr>
          <w:ind w:left="5760" w:hanging="360"/>
        </w:pPr>
        <w:rPr>
          <w:strike w:val="0"/>
          <w:dstrike w:val="0"/>
        </w:rPr>
      </w:lvl>
    </w:lvlOverride>
    <w:lvlOverride w:ilvl="8">
      <w:lvl w:ilvl="8" w:tplc="0409001B">
        <w:start w:val="1"/>
        <w:numFmt w:val="lowerRoman"/>
        <w:lvlText w:val="%9."/>
        <w:lvlJc w:val="right"/>
        <w:pPr>
          <w:ind w:left="6480" w:hanging="180"/>
        </w:pPr>
        <w:rPr>
          <w:strike w:val="0"/>
          <w:dstrike w:val="0"/>
        </w:rPr>
      </w:lvl>
    </w:lvlOverride>
  </w:num>
  <w:num w:numId="11">
    <w:abstractNumId w:val="10"/>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4096"/>
  </w:docVars>
  <w:rsids>
    <w:rsidRoot w:val="00487786"/>
    <w:rsid w:val="00487786"/>
    <w:rsid w:val="006918C6"/>
    <w:rsid w:val="009C7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nhideWhenUsed/>
    <w:qFormat/>
    <w:pPr>
      <w:autoSpaceDE w:val="0"/>
      <w:autoSpaceDN w:val="0"/>
      <w:adjustRightInd w:val="0"/>
    </w:pPr>
    <w:rPr>
      <w:rFonts w:eastAsia="Times New Roman"/>
    </w:rPr>
  </w:style>
  <w:style w:type="character" w:customStyle="1" w:styleId="FootnoteTextChar">
    <w:name w:val="Footnote Text Char"/>
    <w:basedOn w:val="DefaultParagraphFont"/>
    <w:link w:val="FootnoteText"/>
    <w:rPr>
      <w:rFonts w:eastAsia="Times New Roman"/>
    </w:rPr>
  </w:style>
  <w:style w:type="paragraph" w:customStyle="1" w:styleId="Style1">
    <w:name w:val="Style1"/>
    <w:basedOn w:val="Normal"/>
    <w:autoRedefine/>
    <w:qFormat/>
    <w:pPr>
      <w:tabs>
        <w:tab w:val="left" w:pos="720"/>
        <w:tab w:val="left" w:pos="1440"/>
        <w:tab w:val="left" w:pos="2160"/>
        <w:tab w:val="left" w:pos="2880"/>
        <w:tab w:val="left" w:pos="3600"/>
      </w:tabs>
      <w:autoSpaceDE w:val="0"/>
      <w:autoSpaceDN w:val="0"/>
      <w:adjustRightInd w:val="0"/>
      <w:ind w:left="3600" w:hanging="3600"/>
    </w:pPr>
    <w:rPr>
      <w:rFonts w:eastAsia="Calibri"/>
      <w:lang w:eastAsia="en-US"/>
    </w:rPr>
  </w:style>
  <w:style w:type="paragraph" w:customStyle="1" w:styleId="Style3">
    <w:name w:val="Style3"/>
    <w:basedOn w:val="ListParagraph"/>
    <w:autoRedefine/>
    <w:qFormat/>
    <w:pPr>
      <w:numPr>
        <w:numId w:val="1"/>
      </w:numPr>
    </w:pPr>
    <w:rPr>
      <w:rFonts w:eastAsia="Times New Roman"/>
      <w:lang w:eastAsia="en-US"/>
    </w:rPr>
  </w:style>
  <w:style w:type="paragraph" w:styleId="ListParagraph">
    <w:name w:val="List Paragraph"/>
    <w:basedOn w:val="Normal"/>
    <w:uiPriority w:val="99"/>
    <w:qFormat/>
    <w:pPr>
      <w:ind w:left="720"/>
      <w:contextualSpacing/>
    </w:pPr>
  </w:style>
  <w:style w:type="paragraph" w:styleId="NoSpacing">
    <w:name w:val="No Spacing"/>
    <w:uiPriority w:val="1"/>
    <w:qFormat/>
    <w:rPr>
      <w:rFonts w:eastAsia="Times New Roman" w:cs="Times New Roman"/>
      <w:lang w:eastAsia="en-US"/>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heme="minorHAnsi"/>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heme="minorHAnsi"/>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rPr>
  </w:style>
  <w:style w:type="paragraph" w:customStyle="1" w:styleId="yiv784145645msonormal">
    <w:name w:val="yiv784145645msonormal"/>
    <w:basedOn w:val="Normal"/>
    <w:pPr>
      <w:spacing w:before="100" w:beforeAutospacing="1" w:after="100" w:afterAutospacing="1"/>
      <w:jc w:val="left"/>
    </w:pPr>
    <w:rPr>
      <w:rFonts w:ascii="Times New Roman" w:eastAsia="Times New Roman" w:hAnsi="Times New Roman" w:cs="Times New Roman"/>
      <w:lang w:eastAsia="en-US"/>
    </w:rPr>
  </w:style>
  <w:style w:type="character" w:styleId="FootnoteReference">
    <w:name w:val="footnote reference"/>
    <w:basedOn w:val="DefaultParagraphFont"/>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eastAsiaTheme="minorHAnsi"/>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documentbody">
    <w:name w:val="documentbody"/>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nhideWhenUsed/>
    <w:qFormat/>
    <w:pPr>
      <w:autoSpaceDE w:val="0"/>
      <w:autoSpaceDN w:val="0"/>
      <w:adjustRightInd w:val="0"/>
    </w:pPr>
    <w:rPr>
      <w:rFonts w:eastAsia="Times New Roman"/>
    </w:rPr>
  </w:style>
  <w:style w:type="character" w:customStyle="1" w:styleId="FootnoteTextChar">
    <w:name w:val="Footnote Text Char"/>
    <w:basedOn w:val="DefaultParagraphFont"/>
    <w:link w:val="FootnoteText"/>
    <w:rPr>
      <w:rFonts w:eastAsia="Times New Roman"/>
    </w:rPr>
  </w:style>
  <w:style w:type="paragraph" w:customStyle="1" w:styleId="Style1">
    <w:name w:val="Style1"/>
    <w:basedOn w:val="Normal"/>
    <w:autoRedefine/>
    <w:qFormat/>
    <w:pPr>
      <w:tabs>
        <w:tab w:val="left" w:pos="720"/>
        <w:tab w:val="left" w:pos="1440"/>
        <w:tab w:val="left" w:pos="2160"/>
        <w:tab w:val="left" w:pos="2880"/>
        <w:tab w:val="left" w:pos="3600"/>
      </w:tabs>
      <w:autoSpaceDE w:val="0"/>
      <w:autoSpaceDN w:val="0"/>
      <w:adjustRightInd w:val="0"/>
      <w:ind w:left="3600" w:hanging="3600"/>
    </w:pPr>
    <w:rPr>
      <w:rFonts w:eastAsia="Calibri"/>
      <w:lang w:eastAsia="en-US"/>
    </w:rPr>
  </w:style>
  <w:style w:type="paragraph" w:customStyle="1" w:styleId="Style3">
    <w:name w:val="Style3"/>
    <w:basedOn w:val="ListParagraph"/>
    <w:autoRedefine/>
    <w:qFormat/>
    <w:pPr>
      <w:numPr>
        <w:numId w:val="1"/>
      </w:numPr>
    </w:pPr>
    <w:rPr>
      <w:rFonts w:eastAsia="Times New Roman"/>
      <w:lang w:eastAsia="en-US"/>
    </w:rPr>
  </w:style>
  <w:style w:type="paragraph" w:styleId="ListParagraph">
    <w:name w:val="List Paragraph"/>
    <w:basedOn w:val="Normal"/>
    <w:uiPriority w:val="99"/>
    <w:qFormat/>
    <w:pPr>
      <w:ind w:left="720"/>
      <w:contextualSpacing/>
    </w:pPr>
  </w:style>
  <w:style w:type="paragraph" w:styleId="NoSpacing">
    <w:name w:val="No Spacing"/>
    <w:uiPriority w:val="1"/>
    <w:qFormat/>
    <w:rPr>
      <w:rFonts w:eastAsia="Times New Roman" w:cs="Times New Roman"/>
      <w:lang w:eastAsia="en-US"/>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heme="minorHAnsi"/>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heme="minorHAnsi"/>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rPr>
  </w:style>
  <w:style w:type="paragraph" w:customStyle="1" w:styleId="yiv784145645msonormal">
    <w:name w:val="yiv784145645msonormal"/>
    <w:basedOn w:val="Normal"/>
    <w:pPr>
      <w:spacing w:before="100" w:beforeAutospacing="1" w:after="100" w:afterAutospacing="1"/>
      <w:jc w:val="left"/>
    </w:pPr>
    <w:rPr>
      <w:rFonts w:ascii="Times New Roman" w:eastAsia="Times New Roman" w:hAnsi="Times New Roman" w:cs="Times New Roman"/>
      <w:lang w:eastAsia="en-US"/>
    </w:rPr>
  </w:style>
  <w:style w:type="character" w:styleId="FootnoteReference">
    <w:name w:val="footnote reference"/>
    <w:basedOn w:val="DefaultParagraphFont"/>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eastAsiaTheme="minorHAnsi"/>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documentbody">
    <w:name w:val="documentbody"/>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5779">
      <w:bodyDiv w:val="1"/>
      <w:marLeft w:val="0"/>
      <w:marRight w:val="0"/>
      <w:marTop w:val="0"/>
      <w:marBottom w:val="0"/>
      <w:divBdr>
        <w:top w:val="none" w:sz="0" w:space="0" w:color="auto"/>
        <w:left w:val="none" w:sz="0" w:space="0" w:color="auto"/>
        <w:bottom w:val="none" w:sz="0" w:space="0" w:color="auto"/>
        <w:right w:val="none" w:sz="0" w:space="0" w:color="auto"/>
      </w:divBdr>
      <w:divsChild>
        <w:div w:id="117065343">
          <w:marLeft w:val="0"/>
          <w:marRight w:val="0"/>
          <w:marTop w:val="0"/>
          <w:marBottom w:val="0"/>
          <w:divBdr>
            <w:top w:val="none" w:sz="0" w:space="0" w:color="auto"/>
            <w:left w:val="none" w:sz="0" w:space="0" w:color="auto"/>
            <w:bottom w:val="none" w:sz="0" w:space="0" w:color="auto"/>
            <w:right w:val="none" w:sz="0" w:space="0" w:color="auto"/>
          </w:divBdr>
          <w:divsChild>
            <w:div w:id="10797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4774">
      <w:bodyDiv w:val="1"/>
      <w:marLeft w:val="0"/>
      <w:marRight w:val="0"/>
      <w:marTop w:val="0"/>
      <w:marBottom w:val="0"/>
      <w:divBdr>
        <w:top w:val="none" w:sz="0" w:space="0" w:color="auto"/>
        <w:left w:val="none" w:sz="0" w:space="0" w:color="auto"/>
        <w:bottom w:val="none" w:sz="0" w:space="0" w:color="auto"/>
        <w:right w:val="none" w:sz="0" w:space="0" w:color="auto"/>
      </w:divBdr>
    </w:div>
    <w:div w:id="176431288">
      <w:bodyDiv w:val="1"/>
      <w:marLeft w:val="0"/>
      <w:marRight w:val="0"/>
      <w:marTop w:val="0"/>
      <w:marBottom w:val="0"/>
      <w:divBdr>
        <w:top w:val="none" w:sz="0" w:space="0" w:color="auto"/>
        <w:left w:val="none" w:sz="0" w:space="0" w:color="auto"/>
        <w:bottom w:val="none" w:sz="0" w:space="0" w:color="auto"/>
        <w:right w:val="none" w:sz="0" w:space="0" w:color="auto"/>
      </w:divBdr>
      <w:divsChild>
        <w:div w:id="1399281553">
          <w:marLeft w:val="0"/>
          <w:marRight w:val="0"/>
          <w:marTop w:val="0"/>
          <w:marBottom w:val="0"/>
          <w:divBdr>
            <w:top w:val="none" w:sz="0" w:space="0" w:color="auto"/>
            <w:left w:val="none" w:sz="0" w:space="0" w:color="auto"/>
            <w:bottom w:val="none" w:sz="0" w:space="0" w:color="auto"/>
            <w:right w:val="none" w:sz="0" w:space="0" w:color="auto"/>
          </w:divBdr>
          <w:divsChild>
            <w:div w:id="36680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47959">
      <w:bodyDiv w:val="1"/>
      <w:marLeft w:val="0"/>
      <w:marRight w:val="0"/>
      <w:marTop w:val="0"/>
      <w:marBottom w:val="0"/>
      <w:divBdr>
        <w:top w:val="none" w:sz="0" w:space="0" w:color="auto"/>
        <w:left w:val="none" w:sz="0" w:space="0" w:color="auto"/>
        <w:bottom w:val="none" w:sz="0" w:space="0" w:color="auto"/>
        <w:right w:val="none" w:sz="0" w:space="0" w:color="auto"/>
      </w:divBdr>
    </w:div>
    <w:div w:id="365837440">
      <w:bodyDiv w:val="1"/>
      <w:marLeft w:val="0"/>
      <w:marRight w:val="0"/>
      <w:marTop w:val="0"/>
      <w:marBottom w:val="0"/>
      <w:divBdr>
        <w:top w:val="none" w:sz="0" w:space="0" w:color="auto"/>
        <w:left w:val="none" w:sz="0" w:space="0" w:color="auto"/>
        <w:bottom w:val="none" w:sz="0" w:space="0" w:color="auto"/>
        <w:right w:val="none" w:sz="0" w:space="0" w:color="auto"/>
      </w:divBdr>
      <w:divsChild>
        <w:div w:id="2022469637">
          <w:marLeft w:val="0"/>
          <w:marRight w:val="0"/>
          <w:marTop w:val="0"/>
          <w:marBottom w:val="0"/>
          <w:divBdr>
            <w:top w:val="none" w:sz="0" w:space="0" w:color="auto"/>
            <w:left w:val="none" w:sz="0" w:space="0" w:color="auto"/>
            <w:bottom w:val="none" w:sz="0" w:space="0" w:color="auto"/>
            <w:right w:val="none" w:sz="0" w:space="0" w:color="auto"/>
          </w:divBdr>
          <w:divsChild>
            <w:div w:id="38741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88357">
      <w:bodyDiv w:val="1"/>
      <w:marLeft w:val="0"/>
      <w:marRight w:val="0"/>
      <w:marTop w:val="0"/>
      <w:marBottom w:val="0"/>
      <w:divBdr>
        <w:top w:val="none" w:sz="0" w:space="0" w:color="auto"/>
        <w:left w:val="none" w:sz="0" w:space="0" w:color="auto"/>
        <w:bottom w:val="none" w:sz="0" w:space="0" w:color="auto"/>
        <w:right w:val="none" w:sz="0" w:space="0" w:color="auto"/>
      </w:divBdr>
      <w:divsChild>
        <w:div w:id="1216432897">
          <w:marLeft w:val="0"/>
          <w:marRight w:val="0"/>
          <w:marTop w:val="0"/>
          <w:marBottom w:val="0"/>
          <w:divBdr>
            <w:top w:val="none" w:sz="0" w:space="0" w:color="auto"/>
            <w:left w:val="none" w:sz="0" w:space="0" w:color="auto"/>
            <w:bottom w:val="none" w:sz="0" w:space="0" w:color="auto"/>
            <w:right w:val="none" w:sz="0" w:space="0" w:color="auto"/>
          </w:divBdr>
          <w:divsChild>
            <w:div w:id="114951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25342">
      <w:bodyDiv w:val="1"/>
      <w:marLeft w:val="0"/>
      <w:marRight w:val="0"/>
      <w:marTop w:val="0"/>
      <w:marBottom w:val="0"/>
      <w:divBdr>
        <w:top w:val="none" w:sz="0" w:space="0" w:color="auto"/>
        <w:left w:val="none" w:sz="0" w:space="0" w:color="auto"/>
        <w:bottom w:val="none" w:sz="0" w:space="0" w:color="auto"/>
        <w:right w:val="none" w:sz="0" w:space="0" w:color="auto"/>
      </w:divBdr>
      <w:divsChild>
        <w:div w:id="2128547121">
          <w:marLeft w:val="300"/>
          <w:marRight w:val="300"/>
          <w:marTop w:val="0"/>
          <w:marBottom w:val="0"/>
          <w:divBdr>
            <w:top w:val="none" w:sz="0" w:space="0" w:color="auto"/>
            <w:left w:val="none" w:sz="0" w:space="0" w:color="auto"/>
            <w:bottom w:val="none" w:sz="0" w:space="0" w:color="auto"/>
            <w:right w:val="none" w:sz="0" w:space="0" w:color="auto"/>
          </w:divBdr>
        </w:div>
      </w:divsChild>
    </w:div>
    <w:div w:id="1035809664">
      <w:bodyDiv w:val="1"/>
      <w:marLeft w:val="0"/>
      <w:marRight w:val="0"/>
      <w:marTop w:val="0"/>
      <w:marBottom w:val="0"/>
      <w:divBdr>
        <w:top w:val="none" w:sz="0" w:space="0" w:color="auto"/>
        <w:left w:val="none" w:sz="0" w:space="0" w:color="auto"/>
        <w:bottom w:val="none" w:sz="0" w:space="0" w:color="auto"/>
        <w:right w:val="none" w:sz="0" w:space="0" w:color="auto"/>
      </w:divBdr>
      <w:divsChild>
        <w:div w:id="1148668414">
          <w:marLeft w:val="0"/>
          <w:marRight w:val="0"/>
          <w:marTop w:val="0"/>
          <w:marBottom w:val="0"/>
          <w:divBdr>
            <w:top w:val="none" w:sz="0" w:space="0" w:color="auto"/>
            <w:left w:val="none" w:sz="0" w:space="0" w:color="auto"/>
            <w:bottom w:val="none" w:sz="0" w:space="0" w:color="auto"/>
            <w:right w:val="none" w:sz="0" w:space="0" w:color="auto"/>
          </w:divBdr>
          <w:divsChild>
            <w:div w:id="125937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13323">
      <w:bodyDiv w:val="1"/>
      <w:marLeft w:val="0"/>
      <w:marRight w:val="0"/>
      <w:marTop w:val="0"/>
      <w:marBottom w:val="0"/>
      <w:divBdr>
        <w:top w:val="none" w:sz="0" w:space="0" w:color="auto"/>
        <w:left w:val="none" w:sz="0" w:space="0" w:color="auto"/>
        <w:bottom w:val="none" w:sz="0" w:space="0" w:color="auto"/>
        <w:right w:val="none" w:sz="0" w:space="0" w:color="auto"/>
      </w:divBdr>
    </w:div>
    <w:div w:id="1254050795">
      <w:bodyDiv w:val="1"/>
      <w:marLeft w:val="0"/>
      <w:marRight w:val="0"/>
      <w:marTop w:val="0"/>
      <w:marBottom w:val="0"/>
      <w:divBdr>
        <w:top w:val="none" w:sz="0" w:space="0" w:color="auto"/>
        <w:left w:val="none" w:sz="0" w:space="0" w:color="auto"/>
        <w:bottom w:val="none" w:sz="0" w:space="0" w:color="auto"/>
        <w:right w:val="none" w:sz="0" w:space="0" w:color="auto"/>
      </w:divBdr>
      <w:divsChild>
        <w:div w:id="370113697">
          <w:marLeft w:val="0"/>
          <w:marRight w:val="0"/>
          <w:marTop w:val="0"/>
          <w:marBottom w:val="0"/>
          <w:divBdr>
            <w:top w:val="none" w:sz="0" w:space="0" w:color="auto"/>
            <w:left w:val="none" w:sz="0" w:space="0" w:color="auto"/>
            <w:bottom w:val="none" w:sz="0" w:space="0" w:color="auto"/>
            <w:right w:val="none" w:sz="0" w:space="0" w:color="auto"/>
          </w:divBdr>
          <w:divsChild>
            <w:div w:id="17444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32231">
      <w:bodyDiv w:val="1"/>
      <w:marLeft w:val="0"/>
      <w:marRight w:val="0"/>
      <w:marTop w:val="0"/>
      <w:marBottom w:val="0"/>
      <w:divBdr>
        <w:top w:val="none" w:sz="0" w:space="0" w:color="auto"/>
        <w:left w:val="none" w:sz="0" w:space="0" w:color="auto"/>
        <w:bottom w:val="none" w:sz="0" w:space="0" w:color="auto"/>
        <w:right w:val="none" w:sz="0" w:space="0" w:color="auto"/>
      </w:divBdr>
    </w:div>
    <w:div w:id="1480227353">
      <w:bodyDiv w:val="1"/>
      <w:marLeft w:val="0"/>
      <w:marRight w:val="0"/>
      <w:marTop w:val="0"/>
      <w:marBottom w:val="0"/>
      <w:divBdr>
        <w:top w:val="none" w:sz="0" w:space="0" w:color="auto"/>
        <w:left w:val="none" w:sz="0" w:space="0" w:color="auto"/>
        <w:bottom w:val="none" w:sz="0" w:space="0" w:color="auto"/>
        <w:right w:val="none" w:sz="0" w:space="0" w:color="auto"/>
      </w:divBdr>
      <w:divsChild>
        <w:div w:id="1850833030">
          <w:marLeft w:val="0"/>
          <w:marRight w:val="0"/>
          <w:marTop w:val="240"/>
          <w:marBottom w:val="0"/>
          <w:divBdr>
            <w:top w:val="none" w:sz="0" w:space="0" w:color="auto"/>
            <w:left w:val="none" w:sz="0" w:space="0" w:color="auto"/>
            <w:bottom w:val="none" w:sz="0" w:space="0" w:color="auto"/>
            <w:right w:val="none" w:sz="0" w:space="0" w:color="auto"/>
          </w:divBdr>
          <w:divsChild>
            <w:div w:id="1042245776">
              <w:marLeft w:val="312"/>
              <w:marRight w:val="0"/>
              <w:marTop w:val="240"/>
              <w:marBottom w:val="0"/>
              <w:divBdr>
                <w:top w:val="none" w:sz="0" w:space="0" w:color="auto"/>
                <w:left w:val="none" w:sz="0" w:space="0" w:color="auto"/>
                <w:bottom w:val="none" w:sz="0" w:space="0" w:color="auto"/>
                <w:right w:val="none" w:sz="0" w:space="0" w:color="auto"/>
              </w:divBdr>
              <w:divsChild>
                <w:div w:id="2019770334">
                  <w:marLeft w:val="0"/>
                  <w:marRight w:val="0"/>
                  <w:marTop w:val="0"/>
                  <w:marBottom w:val="0"/>
                  <w:divBdr>
                    <w:top w:val="none" w:sz="0" w:space="0" w:color="auto"/>
                    <w:left w:val="none" w:sz="0" w:space="0" w:color="auto"/>
                    <w:bottom w:val="none" w:sz="0" w:space="0" w:color="auto"/>
                    <w:right w:val="none" w:sz="0" w:space="0" w:color="auto"/>
                  </w:divBdr>
                </w:div>
              </w:divsChild>
            </w:div>
            <w:div w:id="1254169731">
              <w:marLeft w:val="312"/>
              <w:marRight w:val="0"/>
              <w:marTop w:val="240"/>
              <w:marBottom w:val="0"/>
              <w:divBdr>
                <w:top w:val="none" w:sz="0" w:space="0" w:color="auto"/>
                <w:left w:val="none" w:sz="0" w:space="0" w:color="auto"/>
                <w:bottom w:val="none" w:sz="0" w:space="0" w:color="auto"/>
                <w:right w:val="none" w:sz="0" w:space="0" w:color="auto"/>
              </w:divBdr>
              <w:divsChild>
                <w:div w:id="1549994580">
                  <w:marLeft w:val="0"/>
                  <w:marRight w:val="0"/>
                  <w:marTop w:val="0"/>
                  <w:marBottom w:val="0"/>
                  <w:divBdr>
                    <w:top w:val="none" w:sz="0" w:space="0" w:color="auto"/>
                    <w:left w:val="none" w:sz="0" w:space="0" w:color="auto"/>
                    <w:bottom w:val="none" w:sz="0" w:space="0" w:color="auto"/>
                    <w:right w:val="none" w:sz="0" w:space="0" w:color="auto"/>
                  </w:divBdr>
                </w:div>
              </w:divsChild>
            </w:div>
            <w:div w:id="1509833825">
              <w:marLeft w:val="312"/>
              <w:marRight w:val="0"/>
              <w:marTop w:val="240"/>
              <w:marBottom w:val="0"/>
              <w:divBdr>
                <w:top w:val="none" w:sz="0" w:space="0" w:color="auto"/>
                <w:left w:val="none" w:sz="0" w:space="0" w:color="auto"/>
                <w:bottom w:val="none" w:sz="0" w:space="0" w:color="auto"/>
                <w:right w:val="none" w:sz="0" w:space="0" w:color="auto"/>
              </w:divBdr>
              <w:divsChild>
                <w:div w:id="196288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6400">
      <w:bodyDiv w:val="1"/>
      <w:marLeft w:val="0"/>
      <w:marRight w:val="0"/>
      <w:marTop w:val="0"/>
      <w:marBottom w:val="0"/>
      <w:divBdr>
        <w:top w:val="none" w:sz="0" w:space="0" w:color="auto"/>
        <w:left w:val="none" w:sz="0" w:space="0" w:color="auto"/>
        <w:bottom w:val="none" w:sz="0" w:space="0" w:color="auto"/>
        <w:right w:val="none" w:sz="0" w:space="0" w:color="auto"/>
      </w:divBdr>
      <w:divsChild>
        <w:div w:id="1432318746">
          <w:marLeft w:val="0"/>
          <w:marRight w:val="0"/>
          <w:marTop w:val="0"/>
          <w:marBottom w:val="0"/>
          <w:divBdr>
            <w:top w:val="none" w:sz="0" w:space="0" w:color="auto"/>
            <w:left w:val="none" w:sz="0" w:space="0" w:color="auto"/>
            <w:bottom w:val="none" w:sz="0" w:space="0" w:color="auto"/>
            <w:right w:val="none" w:sz="0" w:space="0" w:color="auto"/>
          </w:divBdr>
          <w:divsChild>
            <w:div w:id="74599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0853">
      <w:bodyDiv w:val="1"/>
      <w:marLeft w:val="0"/>
      <w:marRight w:val="0"/>
      <w:marTop w:val="0"/>
      <w:marBottom w:val="0"/>
      <w:divBdr>
        <w:top w:val="none" w:sz="0" w:space="0" w:color="auto"/>
        <w:left w:val="none" w:sz="0" w:space="0" w:color="auto"/>
        <w:bottom w:val="none" w:sz="0" w:space="0" w:color="auto"/>
        <w:right w:val="none" w:sz="0" w:space="0" w:color="auto"/>
      </w:divBdr>
      <w:divsChild>
        <w:div w:id="996495315">
          <w:marLeft w:val="0"/>
          <w:marRight w:val="0"/>
          <w:marTop w:val="0"/>
          <w:marBottom w:val="0"/>
          <w:divBdr>
            <w:top w:val="none" w:sz="0" w:space="0" w:color="auto"/>
            <w:left w:val="none" w:sz="0" w:space="0" w:color="auto"/>
            <w:bottom w:val="none" w:sz="0" w:space="0" w:color="auto"/>
            <w:right w:val="none" w:sz="0" w:space="0" w:color="auto"/>
          </w:divBdr>
          <w:divsChild>
            <w:div w:id="112657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58988">
      <w:bodyDiv w:val="1"/>
      <w:marLeft w:val="0"/>
      <w:marRight w:val="0"/>
      <w:marTop w:val="0"/>
      <w:marBottom w:val="0"/>
      <w:divBdr>
        <w:top w:val="none" w:sz="0" w:space="0" w:color="auto"/>
        <w:left w:val="none" w:sz="0" w:space="0" w:color="auto"/>
        <w:bottom w:val="none" w:sz="0" w:space="0" w:color="auto"/>
        <w:right w:val="none" w:sz="0" w:space="0" w:color="auto"/>
      </w:divBdr>
      <w:divsChild>
        <w:div w:id="1223447374">
          <w:marLeft w:val="0"/>
          <w:marRight w:val="0"/>
          <w:marTop w:val="0"/>
          <w:marBottom w:val="0"/>
          <w:divBdr>
            <w:top w:val="none" w:sz="0" w:space="0" w:color="auto"/>
            <w:left w:val="none" w:sz="0" w:space="0" w:color="auto"/>
            <w:bottom w:val="none" w:sz="0" w:space="0" w:color="auto"/>
            <w:right w:val="none" w:sz="0" w:space="0" w:color="auto"/>
          </w:divBdr>
        </w:div>
      </w:divsChild>
    </w:div>
    <w:div w:id="1814712022">
      <w:bodyDiv w:val="1"/>
      <w:marLeft w:val="0"/>
      <w:marRight w:val="0"/>
      <w:marTop w:val="0"/>
      <w:marBottom w:val="0"/>
      <w:divBdr>
        <w:top w:val="none" w:sz="0" w:space="0" w:color="auto"/>
        <w:left w:val="none" w:sz="0" w:space="0" w:color="auto"/>
        <w:bottom w:val="none" w:sz="0" w:space="0" w:color="auto"/>
        <w:right w:val="none" w:sz="0" w:space="0" w:color="auto"/>
      </w:divBdr>
    </w:div>
    <w:div w:id="20583558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arl@carlhartman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5BB65-0165-4B3A-9660-992913CFD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6950</Words>
  <Characters>39617</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46475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dc:creator>
  <cp:lastModifiedBy>Carl</cp:lastModifiedBy>
  <cp:revision>6</cp:revision>
  <cp:lastPrinted>2013-07-26T15:00:00Z</cp:lastPrinted>
  <dcterms:created xsi:type="dcterms:W3CDTF">2013-07-27T21:57:00Z</dcterms:created>
  <dcterms:modified xsi:type="dcterms:W3CDTF">2013-07-31T19:45:00Z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57133.000151 EMF_US 46529464v1</vt:lpwstr>
  </property>
</Properties>
</file>